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1A729" w14:textId="0F1C4DE9" w:rsidR="00C066F4" w:rsidRPr="00D33EF3" w:rsidRDefault="00C066F4" w:rsidP="00C066F4">
      <w:pPr>
        <w:pStyle w:val="3GPPHeader"/>
        <w:rPr>
          <w:highlight w:val="yellow"/>
          <w:lang w:val="en-US"/>
        </w:rPr>
      </w:pPr>
      <w:r w:rsidRPr="00D33EF3">
        <w:rPr>
          <w:lang w:val="en-US"/>
        </w:rPr>
        <w:t>3GPP TSG-RAN WG1 #90</w:t>
      </w:r>
      <w:r w:rsidRPr="00D33EF3">
        <w:rPr>
          <w:lang w:val="en-US"/>
        </w:rPr>
        <w:tab/>
      </w:r>
      <w:bookmarkStart w:id="0" w:name="_GoBack"/>
      <w:r w:rsidR="007F6951" w:rsidRPr="00D33EF3">
        <w:rPr>
          <w:lang w:val="en-US"/>
        </w:rPr>
        <w:t>R1-1714276</w:t>
      </w:r>
      <w:bookmarkEnd w:id="0"/>
    </w:p>
    <w:p w14:paraId="3506C130" w14:textId="77777777" w:rsidR="00C066F4" w:rsidRDefault="00C066F4" w:rsidP="00C066F4">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7C2E81A1" w14:textId="77777777" w:rsidR="00E90E49" w:rsidRPr="00CE0424" w:rsidRDefault="00E90E49" w:rsidP="00357380">
      <w:pPr>
        <w:pStyle w:val="3GPPHeader"/>
      </w:pPr>
    </w:p>
    <w:p w14:paraId="1F300A35" w14:textId="77777777" w:rsidR="00E90E49" w:rsidRPr="00327997" w:rsidRDefault="003D3C45" w:rsidP="00327997">
      <w:pPr>
        <w:pStyle w:val="3GPPHeader"/>
      </w:pPr>
      <w:r w:rsidRPr="00327997">
        <w:t>Source:</w:t>
      </w:r>
      <w:r w:rsidR="00E90E49" w:rsidRPr="00327997">
        <w:tab/>
      </w:r>
      <w:r w:rsidR="00F64C2B" w:rsidRPr="00327997">
        <w:t>Ericsson</w:t>
      </w:r>
    </w:p>
    <w:p w14:paraId="11044B87" w14:textId="77777777" w:rsidR="00E90E49" w:rsidRPr="00327997" w:rsidRDefault="003D3C45" w:rsidP="00327997">
      <w:pPr>
        <w:pStyle w:val="3GPPHeader"/>
      </w:pPr>
      <w:r w:rsidRPr="00327997">
        <w:t>Title:</w:t>
      </w:r>
      <w:r w:rsidR="00E90E49" w:rsidRPr="00327997">
        <w:tab/>
      </w:r>
      <w:r w:rsidR="006E27FE">
        <w:t>UL multi</w:t>
      </w:r>
      <w:r w:rsidR="003E4112">
        <w:t>-</w:t>
      </w:r>
      <w:r w:rsidR="006E27FE">
        <w:t>panel transmission</w:t>
      </w:r>
    </w:p>
    <w:p w14:paraId="6CD23D53" w14:textId="2B77137D" w:rsidR="00952A24" w:rsidRPr="00164BA1" w:rsidRDefault="00952A24" w:rsidP="00327997">
      <w:pPr>
        <w:pStyle w:val="3GPPHeader"/>
        <w:rPr>
          <w:lang w:val="en-US"/>
        </w:rPr>
      </w:pPr>
      <w:r w:rsidRPr="00164BA1">
        <w:rPr>
          <w:lang w:val="en-US"/>
        </w:rPr>
        <w:t>Agenda Item:</w:t>
      </w:r>
      <w:r w:rsidRPr="00164BA1">
        <w:rPr>
          <w:lang w:val="en-US"/>
        </w:rPr>
        <w:tab/>
      </w:r>
      <w:r w:rsidR="00C066F4">
        <w:rPr>
          <w:lang w:val="en-US"/>
        </w:rPr>
        <w:t>6</w:t>
      </w:r>
      <w:r w:rsidR="005159B0">
        <w:rPr>
          <w:lang w:val="en-US"/>
        </w:rPr>
        <w:t>.1.2.1.6</w:t>
      </w:r>
    </w:p>
    <w:p w14:paraId="58879DB3" w14:textId="77777777" w:rsidR="00E64F97" w:rsidRPr="00E64F97" w:rsidRDefault="00E90E49" w:rsidP="00084BD4">
      <w:pPr>
        <w:pStyle w:val="3GPPHeader"/>
      </w:pPr>
      <w:r w:rsidRPr="00327997">
        <w:t>Document for:</w:t>
      </w:r>
      <w:r w:rsidRPr="00327997">
        <w:tab/>
      </w:r>
      <w:r w:rsidR="00A15745">
        <w:t>Discussion and</w:t>
      </w:r>
      <w:r w:rsidR="00952A24" w:rsidRPr="009C6832">
        <w:t xml:space="preserve"> </w:t>
      </w:r>
      <w:r w:rsidRPr="009C6832">
        <w:t>Decision</w:t>
      </w:r>
    </w:p>
    <w:p w14:paraId="65B9C24D" w14:textId="77777777" w:rsidR="00E90E49" w:rsidRPr="00CE0424" w:rsidRDefault="007F75D5" w:rsidP="00CE0424">
      <w:pPr>
        <w:pStyle w:val="Heading1"/>
      </w:pPr>
      <w:r>
        <w:t>Introduction</w:t>
      </w:r>
    </w:p>
    <w:p w14:paraId="226001DB" w14:textId="039E070F" w:rsidR="00BF7642" w:rsidRDefault="008E7806" w:rsidP="00BF7642">
      <w:pPr>
        <w:pStyle w:val="BodyText"/>
      </w:pPr>
      <w:r>
        <w:t>RAN1 has considered both coherent and non-coherent multi</w:t>
      </w:r>
      <w:r w:rsidR="000F671E">
        <w:t>-</w:t>
      </w:r>
      <w:r>
        <w:t>panel transmission for some time, as can be seen by the prior agreements below.</w:t>
      </w:r>
    </w:p>
    <w:p w14:paraId="5833E807" w14:textId="77777777" w:rsidR="00E3707D" w:rsidRPr="00626376" w:rsidRDefault="00E3707D" w:rsidP="00E3707D">
      <w:pPr>
        <w:rPr>
          <w:rFonts w:eastAsia="MS Mincho"/>
          <w:b/>
          <w:u w:val="single"/>
          <w:lang w:eastAsia="ja-JP"/>
        </w:rPr>
      </w:pPr>
      <w:r w:rsidRPr="005A1C8A">
        <w:rPr>
          <w:rFonts w:eastAsia="MS Mincho" w:hint="eastAsia"/>
          <w:b/>
          <w:highlight w:val="green"/>
          <w:u w:val="single"/>
          <w:lang w:eastAsia="ja-JP"/>
        </w:rPr>
        <w:t>Agreements:</w:t>
      </w:r>
      <w:r>
        <w:rPr>
          <w:rFonts w:eastAsia="MS Mincho"/>
          <w:b/>
          <w:u w:val="single"/>
          <w:lang w:eastAsia="ja-JP"/>
        </w:rPr>
        <w:t>(</w:t>
      </w:r>
      <w:r w:rsidR="00BB42D1">
        <w:rPr>
          <w:rFonts w:eastAsia="MS Mincho"/>
          <w:b/>
          <w:u w:val="single"/>
          <w:lang w:eastAsia="ja-JP"/>
        </w:rPr>
        <w:t>RAN1#</w:t>
      </w:r>
      <w:r>
        <w:rPr>
          <w:rFonts w:eastAsia="MS Mincho"/>
          <w:b/>
          <w:u w:val="single"/>
          <w:lang w:eastAsia="ja-JP"/>
        </w:rPr>
        <w:t>86b)</w:t>
      </w:r>
    </w:p>
    <w:p w14:paraId="5A593A98" w14:textId="77777777" w:rsidR="00E3707D" w:rsidRPr="00626376" w:rsidRDefault="00E3707D" w:rsidP="00E3707D">
      <w:pPr>
        <w:numPr>
          <w:ilvl w:val="0"/>
          <w:numId w:val="37"/>
        </w:numPr>
        <w:overflowPunct/>
        <w:autoSpaceDE/>
        <w:autoSpaceDN/>
        <w:adjustRightInd/>
        <w:spacing w:after="0"/>
        <w:jc w:val="left"/>
        <w:textAlignment w:val="auto"/>
        <w:rPr>
          <w:rFonts w:eastAsia="MS Mincho"/>
          <w:lang w:val="en-US" w:eastAsia="ja-JP"/>
        </w:rPr>
      </w:pPr>
      <w:r w:rsidRPr="00626376">
        <w:rPr>
          <w:rFonts w:eastAsia="MS Mincho"/>
          <w:lang w:val="en-US" w:eastAsia="ja-JP"/>
        </w:rPr>
        <w:t>Study at least the following different multi-panel structures at both TRP and UE</w:t>
      </w:r>
    </w:p>
    <w:p w14:paraId="2C29C232" w14:textId="77777777" w:rsidR="00E3707D" w:rsidRPr="00626376" w:rsidRDefault="00E3707D" w:rsidP="00E3707D">
      <w:pPr>
        <w:numPr>
          <w:ilvl w:val="1"/>
          <w:numId w:val="37"/>
        </w:numPr>
        <w:overflowPunct/>
        <w:autoSpaceDE/>
        <w:autoSpaceDN/>
        <w:adjustRightInd/>
        <w:spacing w:after="0"/>
        <w:jc w:val="left"/>
        <w:textAlignment w:val="auto"/>
        <w:rPr>
          <w:rFonts w:eastAsia="MS Mincho"/>
          <w:lang w:val="en-US" w:eastAsia="ja-JP"/>
        </w:rPr>
      </w:pPr>
      <w:r>
        <w:rPr>
          <w:rFonts w:eastAsia="MS Mincho"/>
          <w:u w:val="single"/>
          <w:lang w:val="en-US" w:eastAsia="ja-JP"/>
        </w:rPr>
        <w:t xml:space="preserve">Uniform </w:t>
      </w:r>
      <w:r w:rsidRPr="00626376">
        <w:rPr>
          <w:rFonts w:eastAsia="MS Mincho"/>
          <w:u w:val="single"/>
          <w:lang w:val="en-US" w:eastAsia="ja-JP"/>
        </w:rPr>
        <w:t xml:space="preserve">array: </w:t>
      </w:r>
      <w:r w:rsidRPr="00626376">
        <w:rPr>
          <w:rFonts w:eastAsia="MS Mincho"/>
          <w:lang w:val="en-US" w:eastAsia="ja-JP"/>
        </w:rPr>
        <w:t>antenna elements with the same polarization from multiple panels are uniformly distributed in horizontal and vertical dimensions respectively (see Fig.1(a)</w:t>
      </w:r>
      <w:r>
        <w:rPr>
          <w:rFonts w:eastAsia="MS Mincho" w:hint="eastAsia"/>
          <w:lang w:val="en-US" w:eastAsia="ja-JP"/>
        </w:rPr>
        <w:t xml:space="preserve"> in </w:t>
      </w:r>
      <w:r w:rsidR="002A5CFA" w:rsidRPr="00164BA1">
        <w:rPr>
          <w:rFonts w:eastAsia="MS Mincho"/>
        </w:rPr>
        <w:t>R1-1610893</w:t>
      </w:r>
      <w:r>
        <w:rPr>
          <w:rFonts w:eastAsia="MS Mincho" w:hint="eastAsia"/>
          <w:lang w:val="en-US" w:eastAsia="ja-JP"/>
        </w:rPr>
        <w:t xml:space="preserve"> as an example</w:t>
      </w:r>
      <w:r w:rsidRPr="00626376">
        <w:rPr>
          <w:rFonts w:eastAsia="MS Mincho"/>
          <w:lang w:val="en-US" w:eastAsia="ja-JP"/>
        </w:rPr>
        <w:t>)</w:t>
      </w:r>
    </w:p>
    <w:p w14:paraId="590BBDFF" w14:textId="77777777" w:rsidR="00E3707D" w:rsidRPr="00626376" w:rsidRDefault="00E3707D" w:rsidP="00E3707D">
      <w:pPr>
        <w:numPr>
          <w:ilvl w:val="1"/>
          <w:numId w:val="37"/>
        </w:numPr>
        <w:overflowPunct/>
        <w:autoSpaceDE/>
        <w:autoSpaceDN/>
        <w:adjustRightInd/>
        <w:spacing w:after="0"/>
        <w:jc w:val="left"/>
        <w:textAlignment w:val="auto"/>
        <w:rPr>
          <w:rFonts w:eastAsia="MS Mincho"/>
          <w:lang w:val="en-US" w:eastAsia="ja-JP"/>
        </w:rPr>
      </w:pPr>
      <w:r>
        <w:rPr>
          <w:rFonts w:eastAsia="MS Mincho"/>
          <w:u w:val="single"/>
          <w:lang w:val="en-US" w:eastAsia="ja-JP"/>
        </w:rPr>
        <w:t xml:space="preserve">Non-uniform </w:t>
      </w:r>
      <w:r w:rsidRPr="00626376">
        <w:rPr>
          <w:rFonts w:eastAsia="MS Mincho"/>
          <w:u w:val="single"/>
          <w:lang w:val="en-US" w:eastAsia="ja-JP"/>
        </w:rPr>
        <w:t>array:</w:t>
      </w:r>
      <w:r w:rsidRPr="00626376">
        <w:rPr>
          <w:rFonts w:eastAsia="MS Mincho"/>
          <w:lang w:val="en-US" w:eastAsia="ja-JP"/>
        </w:rPr>
        <w:t xml:space="preserve"> antenna elements with same polarization from multiple panels are not uniformly distributed in horizontal or vertical dimension (see Fig.1(b)</w:t>
      </w:r>
      <w:r>
        <w:rPr>
          <w:rFonts w:eastAsia="MS Mincho" w:hint="eastAsia"/>
          <w:lang w:val="en-US" w:eastAsia="ja-JP"/>
        </w:rPr>
        <w:t xml:space="preserve"> in </w:t>
      </w:r>
      <w:r w:rsidR="002A5CFA" w:rsidRPr="00164BA1">
        <w:rPr>
          <w:rFonts w:eastAsia="MS Mincho"/>
        </w:rPr>
        <w:t>R1-1610893</w:t>
      </w:r>
      <w:r>
        <w:rPr>
          <w:rFonts w:eastAsia="MS Mincho" w:hint="eastAsia"/>
          <w:lang w:val="en-US" w:eastAsia="ja-JP"/>
        </w:rPr>
        <w:t xml:space="preserve"> as an example</w:t>
      </w:r>
      <w:r w:rsidRPr="00626376">
        <w:rPr>
          <w:rFonts w:eastAsia="MS Mincho"/>
          <w:lang w:val="en-US" w:eastAsia="ja-JP"/>
        </w:rPr>
        <w:t>)</w:t>
      </w:r>
    </w:p>
    <w:p w14:paraId="3284C491" w14:textId="77777777" w:rsidR="00E3707D" w:rsidRPr="00626376" w:rsidRDefault="00E3707D" w:rsidP="00E3707D">
      <w:pPr>
        <w:numPr>
          <w:ilvl w:val="0"/>
          <w:numId w:val="37"/>
        </w:numPr>
        <w:overflowPunct/>
        <w:autoSpaceDE/>
        <w:autoSpaceDN/>
        <w:adjustRightInd/>
        <w:spacing w:after="0"/>
        <w:jc w:val="left"/>
        <w:textAlignment w:val="auto"/>
        <w:rPr>
          <w:rFonts w:eastAsia="MS Mincho"/>
          <w:lang w:val="en-US" w:eastAsia="ja-JP"/>
        </w:rPr>
      </w:pPr>
      <w:r w:rsidRPr="00626376">
        <w:rPr>
          <w:rFonts w:eastAsia="MS Mincho"/>
          <w:lang w:eastAsia="ja-JP"/>
        </w:rPr>
        <w:t>Study the coherent</w:t>
      </w:r>
      <w:r>
        <w:rPr>
          <w:rFonts w:eastAsia="MS Mincho" w:hint="eastAsia"/>
          <w:lang w:eastAsia="ja-JP"/>
        </w:rPr>
        <w:t>/non-coherent</w:t>
      </w:r>
      <w:r w:rsidRPr="00626376">
        <w:rPr>
          <w:rFonts w:eastAsia="MS Mincho"/>
          <w:lang w:eastAsia="ja-JP"/>
        </w:rPr>
        <w:t xml:space="preserve"> MIMO transmission based on </w:t>
      </w:r>
      <w:r>
        <w:rPr>
          <w:rFonts w:eastAsia="MS Mincho" w:hint="eastAsia"/>
          <w:lang w:eastAsia="ja-JP"/>
        </w:rPr>
        <w:t>uniform/</w:t>
      </w:r>
      <w:r w:rsidRPr="00626376">
        <w:rPr>
          <w:rFonts w:eastAsia="MS Mincho"/>
          <w:lang w:eastAsia="ja-JP"/>
        </w:rPr>
        <w:t xml:space="preserve">non-uniform </w:t>
      </w:r>
      <w:r>
        <w:rPr>
          <w:rFonts w:eastAsia="MS Mincho" w:hint="eastAsia"/>
          <w:lang w:eastAsia="ja-JP"/>
        </w:rPr>
        <w:t>array</w:t>
      </w:r>
      <w:r w:rsidRPr="00626376">
        <w:rPr>
          <w:rFonts w:eastAsia="MS Mincho"/>
          <w:lang w:eastAsia="ja-JP"/>
        </w:rPr>
        <w:t xml:space="preserve"> structure at TRP or UE</w:t>
      </w:r>
    </w:p>
    <w:p w14:paraId="2A75BBDB" w14:textId="77777777" w:rsidR="00E3707D" w:rsidRPr="00164BA1" w:rsidRDefault="00E3707D" w:rsidP="00E3707D">
      <w:pPr>
        <w:numPr>
          <w:ilvl w:val="1"/>
          <w:numId w:val="37"/>
        </w:numPr>
        <w:overflowPunct/>
        <w:autoSpaceDE/>
        <w:autoSpaceDN/>
        <w:adjustRightInd/>
        <w:spacing w:after="0"/>
        <w:jc w:val="left"/>
        <w:textAlignment w:val="auto"/>
        <w:rPr>
          <w:rFonts w:eastAsia="MS Mincho"/>
          <w:lang w:val="en-US" w:eastAsia="ja-JP"/>
        </w:rPr>
      </w:pPr>
      <w:r>
        <w:rPr>
          <w:rFonts w:eastAsia="MS Mincho"/>
          <w:lang w:eastAsia="ja-JP"/>
        </w:rPr>
        <w:t>E</w:t>
      </w:r>
      <w:r>
        <w:rPr>
          <w:rFonts w:eastAsia="MS Mincho" w:hint="eastAsia"/>
          <w:lang w:eastAsia="ja-JP"/>
        </w:rPr>
        <w:t xml:space="preserve">.g., </w:t>
      </w:r>
      <w:r w:rsidRPr="00626376">
        <w:rPr>
          <w:rFonts w:eastAsia="MS Mincho"/>
          <w:lang w:eastAsia="ja-JP"/>
        </w:rPr>
        <w:t>Codebook design</w:t>
      </w:r>
      <w:r>
        <w:rPr>
          <w:rFonts w:eastAsia="MS Mincho" w:hint="eastAsia"/>
          <w:lang w:eastAsia="ja-JP"/>
        </w:rPr>
        <w:t>, calibration accuracy, interference measurement, advanced receiver design, interference hypothesis</w:t>
      </w:r>
    </w:p>
    <w:p w14:paraId="01B4777C" w14:textId="77777777" w:rsidR="00BB42D1" w:rsidRPr="00626376" w:rsidRDefault="00BB42D1" w:rsidP="00164BA1">
      <w:pPr>
        <w:overflowPunct/>
        <w:autoSpaceDE/>
        <w:autoSpaceDN/>
        <w:adjustRightInd/>
        <w:spacing w:after="0"/>
        <w:jc w:val="left"/>
        <w:textAlignment w:val="auto"/>
        <w:rPr>
          <w:rFonts w:eastAsia="MS Mincho"/>
          <w:lang w:val="en-US" w:eastAsia="ja-JP"/>
        </w:rPr>
      </w:pPr>
    </w:p>
    <w:p w14:paraId="035888FF" w14:textId="77777777" w:rsidR="00E3707D" w:rsidRPr="00DE063A" w:rsidRDefault="00E3707D" w:rsidP="00E3707D">
      <w:pPr>
        <w:rPr>
          <w:rFonts w:eastAsia="MS Mincho"/>
          <w:b/>
          <w:iCs/>
          <w:u w:val="single"/>
          <w:lang w:eastAsia="ja-JP"/>
        </w:rPr>
      </w:pPr>
      <w:r w:rsidRPr="00DE063A">
        <w:rPr>
          <w:rFonts w:eastAsia="MS Mincho"/>
          <w:b/>
          <w:iCs/>
          <w:highlight w:val="green"/>
          <w:u w:val="single"/>
          <w:lang w:eastAsia="ja-JP"/>
        </w:rPr>
        <w:t>A</w:t>
      </w:r>
      <w:r w:rsidRPr="00DE063A">
        <w:rPr>
          <w:rFonts w:eastAsia="MS Mincho" w:hint="eastAsia"/>
          <w:b/>
          <w:iCs/>
          <w:highlight w:val="green"/>
          <w:u w:val="single"/>
          <w:lang w:eastAsia="ja-JP"/>
        </w:rPr>
        <w:t>greements</w:t>
      </w:r>
      <w:r w:rsidRPr="00DE063A">
        <w:rPr>
          <w:rFonts w:eastAsia="MS Mincho" w:hint="eastAsia"/>
          <w:b/>
          <w:iCs/>
          <w:u w:val="single"/>
          <w:lang w:eastAsia="ja-JP"/>
        </w:rPr>
        <w:t>:</w:t>
      </w:r>
      <w:r w:rsidR="00BB42D1">
        <w:rPr>
          <w:rFonts w:eastAsia="MS Mincho"/>
          <w:b/>
          <w:iCs/>
          <w:u w:val="single"/>
          <w:lang w:eastAsia="ja-JP"/>
        </w:rPr>
        <w:t>(RAN1#87)</w:t>
      </w:r>
    </w:p>
    <w:p w14:paraId="768C53E9" w14:textId="77777777" w:rsidR="00E3707D" w:rsidRPr="00DE063A" w:rsidRDefault="00E3707D" w:rsidP="00E3707D">
      <w:pPr>
        <w:numPr>
          <w:ilvl w:val="0"/>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downlink transmission</w:t>
      </w:r>
    </w:p>
    <w:p w14:paraId="007C081A"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Should consider both uniform and non-uniform array </w:t>
      </w:r>
    </w:p>
    <w:p w14:paraId="314F7861"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both coherent and non-coherent MIMO transmission for multi-panel antenna array</w:t>
      </w:r>
    </w:p>
    <w:p w14:paraId="50C9FE26"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different inter-panel phase calibration cases</w:t>
      </w:r>
    </w:p>
    <w:p w14:paraId="7027E622"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FFS QCL related aspects</w:t>
      </w:r>
    </w:p>
    <w:p w14:paraId="45B4A548" w14:textId="77777777" w:rsidR="00E3707D" w:rsidRPr="00DE063A" w:rsidRDefault="00E3707D" w:rsidP="00E3707D">
      <w:pPr>
        <w:numPr>
          <w:ilvl w:val="0"/>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 xml:space="preserve">For multi-panel based </w:t>
      </w:r>
      <w:r w:rsidRPr="00DE063A">
        <w:rPr>
          <w:rFonts w:eastAsia="MS Mincho"/>
          <w:iCs/>
          <w:u w:val="single"/>
          <w:lang w:eastAsia="ja-JP"/>
        </w:rPr>
        <w:t>uplink transmission</w:t>
      </w:r>
    </w:p>
    <w:p w14:paraId="3E35899B"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val="en-US" w:eastAsia="ja-JP"/>
        </w:rPr>
        <w:t>Study way(s) to improve both reliability and capacity, e.g., non-coherent transmission, etc.</w:t>
      </w:r>
    </w:p>
    <w:p w14:paraId="26ECDFF8" w14:textId="77777777" w:rsidR="00E3707D" w:rsidRPr="00DE063A" w:rsidRDefault="00E3707D" w:rsidP="00E3707D">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val="en-US" w:eastAsia="ja-JP"/>
        </w:rPr>
        <w:t>Study practical issues including multiple timing advances, power control, beam procedure with/without the help of existing well paired beams and so on</w:t>
      </w:r>
    </w:p>
    <w:p w14:paraId="6858ECB5" w14:textId="7B11CD95" w:rsidR="006B1A4B" w:rsidRPr="0035390C" w:rsidRDefault="00E3707D" w:rsidP="006B1A4B">
      <w:pPr>
        <w:numPr>
          <w:ilvl w:val="1"/>
          <w:numId w:val="38"/>
        </w:numPr>
        <w:overflowPunct/>
        <w:autoSpaceDE/>
        <w:autoSpaceDN/>
        <w:adjustRightInd/>
        <w:spacing w:after="0"/>
        <w:jc w:val="left"/>
        <w:textAlignment w:val="auto"/>
        <w:rPr>
          <w:rFonts w:eastAsia="MS Mincho"/>
          <w:iCs/>
          <w:lang w:val="en-US" w:eastAsia="ja-JP"/>
        </w:rPr>
      </w:pPr>
      <w:r w:rsidRPr="00DE063A">
        <w:rPr>
          <w:rFonts w:eastAsia="MS Mincho"/>
          <w:iCs/>
          <w:lang w:eastAsia="ja-JP"/>
        </w:rPr>
        <w:t>Should consider different inter-panel phase calibration cases</w:t>
      </w:r>
    </w:p>
    <w:p w14:paraId="6615786E" w14:textId="77777777" w:rsidR="008E7806" w:rsidRDefault="008E7806" w:rsidP="0035390C">
      <w:pPr>
        <w:overflowPunct/>
        <w:autoSpaceDE/>
        <w:autoSpaceDN/>
        <w:adjustRightInd/>
        <w:spacing w:after="0"/>
        <w:jc w:val="left"/>
        <w:textAlignment w:val="auto"/>
      </w:pPr>
    </w:p>
    <w:p w14:paraId="7508C024" w14:textId="50ADAD17" w:rsidR="008E7806" w:rsidRDefault="008E7806" w:rsidP="0035390C">
      <w:pPr>
        <w:overflowPunct/>
        <w:autoSpaceDE/>
        <w:autoSpaceDN/>
        <w:adjustRightInd/>
        <w:spacing w:after="0"/>
        <w:textAlignment w:val="auto"/>
        <w:rPr>
          <w:rFonts w:eastAsia="MS Mincho"/>
          <w:iCs/>
          <w:lang w:val="en-US" w:eastAsia="ja-JP"/>
        </w:rPr>
      </w:pPr>
      <w:r>
        <w:t>Coherent and non-coherent multi-antenna transmission trade off performance gains for simplified UE implementation.  While in prior contributions we have focussed on coherent multi-panel operation, in this contribution, we study non-coh</w:t>
      </w:r>
      <w:r w:rsidR="00C066F4">
        <w:t>erent operation in more depth.  Simulations are provided comparing the performance of coherent and non-coherent multilayer transmission, related power combining and PA power assumptions are discussed.</w:t>
      </w:r>
    </w:p>
    <w:p w14:paraId="5046ADAB" w14:textId="77777777" w:rsidR="00016B61" w:rsidRDefault="000F5978" w:rsidP="00971BB3">
      <w:pPr>
        <w:pStyle w:val="Heading1"/>
      </w:pPr>
      <w:bookmarkStart w:id="1" w:name="_Ref178064866"/>
      <w:r>
        <w:t>Discussion</w:t>
      </w:r>
    </w:p>
    <w:p w14:paraId="42816B03" w14:textId="00521C3C" w:rsidR="00F301BB" w:rsidRPr="00F301BB" w:rsidRDefault="00F301BB" w:rsidP="00F301BB">
      <w:pPr>
        <w:pStyle w:val="Heading2"/>
      </w:pPr>
      <w:r>
        <w:t xml:space="preserve">Coherent </w:t>
      </w:r>
      <w:r w:rsidR="00C066F4">
        <w:t>and Non-Coherent T</w:t>
      </w:r>
      <w:r>
        <w:t>ransmission</w:t>
      </w:r>
      <w:r w:rsidR="00844CE6">
        <w:t xml:space="preserve"> </w:t>
      </w:r>
      <w:r w:rsidR="00C066F4">
        <w:t>A</w:t>
      </w:r>
      <w:r w:rsidR="00844CE6">
        <w:t xml:space="preserve">cross </w:t>
      </w:r>
      <w:r w:rsidR="00C066F4">
        <w:t>P</w:t>
      </w:r>
      <w:r w:rsidR="00844CE6">
        <w:t>anels</w:t>
      </w:r>
    </w:p>
    <w:p w14:paraId="0BE5FF84" w14:textId="09FF4AD2" w:rsidR="003531E6" w:rsidRDefault="00320FBD" w:rsidP="000F5978">
      <w:r>
        <w:t>While i</w:t>
      </w:r>
      <w:r w:rsidR="00844CE6">
        <w:t xml:space="preserve">t’s </w:t>
      </w:r>
      <w:r w:rsidR="00D63910">
        <w:t xml:space="preserve">expected </w:t>
      </w:r>
      <w:r w:rsidR="00844CE6">
        <w:t xml:space="preserve">that NR </w:t>
      </w:r>
      <w:r w:rsidR="00D63910">
        <w:t xml:space="preserve">will </w:t>
      </w:r>
      <w:r w:rsidR="00844CE6">
        <w:t>support coher</w:t>
      </w:r>
      <w:r w:rsidR="001D61B5">
        <w:t>ent transmission below 6GHz</w:t>
      </w:r>
      <w:r w:rsidR="00D63910">
        <w:t>,</w:t>
      </w:r>
      <w:r w:rsidR="001D61B5">
        <w:t xml:space="preserve"> there has been </w:t>
      </w:r>
      <w:r w:rsidR="00844CE6">
        <w:t xml:space="preserve">discussion </w:t>
      </w:r>
      <w:r w:rsidR="001D61B5">
        <w:t xml:space="preserve">whether coherent transmission </w:t>
      </w:r>
      <w:r w:rsidR="00D63910">
        <w:t xml:space="preserve">should </w:t>
      </w:r>
      <w:r w:rsidR="001D61B5">
        <w:t xml:space="preserve">be supported across panels above 6GHz. This is also the </w:t>
      </w:r>
      <w:r w:rsidR="00D63910">
        <w:t xml:space="preserve">focus </w:t>
      </w:r>
      <w:r w:rsidR="001D61B5">
        <w:t>of this contribution.</w:t>
      </w:r>
    </w:p>
    <w:p w14:paraId="21E61F86" w14:textId="22ABF78D" w:rsidR="003531E6" w:rsidRDefault="003531E6" w:rsidP="000F5978">
      <w:r>
        <w:t xml:space="preserve">In </w:t>
      </w:r>
      <w:r w:rsidR="00FD12C9">
        <w:t xml:space="preserve">a </w:t>
      </w:r>
      <w:r>
        <w:t>prior contrib</w:t>
      </w:r>
      <w:r w:rsidR="00FD12C9">
        <w:t xml:space="preserve">ution </w:t>
      </w:r>
      <w:r w:rsidR="00FD12C9">
        <w:fldChar w:fldCharType="begin"/>
      </w:r>
      <w:r w:rsidR="00FD12C9">
        <w:instrText xml:space="preserve"> REF _Ref490173680 \r \h </w:instrText>
      </w:r>
      <w:r w:rsidR="00FD12C9">
        <w:fldChar w:fldCharType="separate"/>
      </w:r>
      <w:r w:rsidR="00FD12C9">
        <w:t>[3]</w:t>
      </w:r>
      <w:r w:rsidR="00FD12C9">
        <w:fldChar w:fldCharType="end"/>
      </w:r>
      <w:r>
        <w:t xml:space="preserve">, we </w:t>
      </w:r>
      <w:r w:rsidR="0040018B">
        <w:t>concentrated</w:t>
      </w:r>
      <w:r>
        <w:t xml:space="preserve"> on the gains of coherent transmission for a single</w:t>
      </w:r>
      <w:r w:rsidR="00C2329B">
        <w:t>-</w:t>
      </w:r>
      <w:r>
        <w:t xml:space="preserve">layer, and found that useful gains were possible.  However, it is less clear that multi-layer transmission benefits from coherent inter-panel or intra-panel transmission.  Furthermore, </w:t>
      </w:r>
      <w:r w:rsidR="0040018B">
        <w:t xml:space="preserve">while it’s intuitively expected to be useful, </w:t>
      </w:r>
      <w:r>
        <w:t>the benefit of simple non-</w:t>
      </w:r>
      <w:r>
        <w:lastRenderedPageBreak/>
        <w:t>coherent multi-</w:t>
      </w:r>
      <w:r w:rsidR="00154397">
        <w:t xml:space="preserve">panel </w:t>
      </w:r>
      <w:r>
        <w:t xml:space="preserve">transmission </w:t>
      </w:r>
      <w:r w:rsidR="00154397">
        <w:t xml:space="preserve">with one layer per panel </w:t>
      </w:r>
      <w:r>
        <w:t xml:space="preserve">over antenna selection has not been investigated much in RAN1 to our knowledge.  </w:t>
      </w:r>
      <w:r w:rsidR="00262E4F">
        <w:t xml:space="preserve">Therefore, in this contribution we study the benefit of </w:t>
      </w:r>
      <w:r w:rsidR="00C2329B">
        <w:t>dual-</w:t>
      </w:r>
      <w:r w:rsidR="00262E4F">
        <w:t>layer transmission, where pairs of ports in a panel can be coherently combined within two panels</w:t>
      </w:r>
      <w:r w:rsidR="00EE3EFE">
        <w:t xml:space="preserve"> (‘coherent intra-panel’ transmission)</w:t>
      </w:r>
      <w:r w:rsidR="00F17328">
        <w:t xml:space="preserve"> and then one layer each is transmitted from the two panels</w:t>
      </w:r>
      <w:r w:rsidR="00262E4F">
        <w:t>, or all 4 ports can be combined across two panels coherently while transmitting two layers</w:t>
      </w:r>
      <w:r w:rsidR="00EE3EFE">
        <w:t xml:space="preserve"> (‘coherent </w:t>
      </w:r>
      <w:r w:rsidR="0040018B">
        <w:t>multi</w:t>
      </w:r>
      <w:r w:rsidR="00EE3EFE">
        <w:t>-panel’ transmission)</w:t>
      </w:r>
      <w:r w:rsidR="00F17328">
        <w:t xml:space="preserve"> jointly from the panels</w:t>
      </w:r>
      <w:r w:rsidR="00262E4F">
        <w:t xml:space="preserve">.  These </w:t>
      </w:r>
      <w:r w:rsidR="00C2329B">
        <w:t>dual-</w:t>
      </w:r>
      <w:r w:rsidR="00262E4F">
        <w:t xml:space="preserve">layer approaches are compared to a baseline where the </w:t>
      </w:r>
      <w:r w:rsidR="00BD671A">
        <w:t xml:space="preserve">precoding is applied to the pairs of ports within a panel, and the best panel is selected to transmit </w:t>
      </w:r>
      <w:r w:rsidR="00262E4F">
        <w:t>one layer.</w:t>
      </w:r>
      <w:r>
        <w:t xml:space="preserve"> </w:t>
      </w:r>
    </w:p>
    <w:p w14:paraId="627D832A" w14:textId="4879671E" w:rsidR="006B1A4B" w:rsidRDefault="00C0761A" w:rsidP="000F5978">
      <w:r>
        <w:t>The precoder</w:t>
      </w:r>
      <w:r w:rsidR="00241C81">
        <w:t>s</w:t>
      </w:r>
      <w:r>
        <w:t xml:space="preserve"> used for UL transmission </w:t>
      </w:r>
      <w:r w:rsidR="00916F05">
        <w:t>here</w:t>
      </w:r>
      <w:r w:rsidR="00241C81">
        <w:t xml:space="preserve"> are </w:t>
      </w:r>
      <w:r w:rsidR="00916F05">
        <w:t xml:space="preserve">selected from </w:t>
      </w:r>
      <w:r>
        <w:t xml:space="preserve">the </w:t>
      </w:r>
      <w:r w:rsidR="00241C81">
        <w:t>R</w:t>
      </w:r>
      <w:r>
        <w:t xml:space="preserve">el-8 </w:t>
      </w:r>
      <w:r w:rsidR="00916F05">
        <w:t xml:space="preserve">DL </w:t>
      </w:r>
      <w:r>
        <w:t>codebooks</w:t>
      </w:r>
      <w:r w:rsidR="00E12A3D">
        <w:t>. In case of</w:t>
      </w:r>
      <w:r>
        <w:t xml:space="preserve"> </w:t>
      </w:r>
      <w:r w:rsidR="00916F05">
        <w:t>one beam (</w:t>
      </w:r>
      <w:r>
        <w:t>two ports</w:t>
      </w:r>
      <w:r w:rsidR="00916F05">
        <w:t>)</w:t>
      </w:r>
      <w:r>
        <w:t xml:space="preserve"> </w:t>
      </w:r>
      <w:r w:rsidR="00E12A3D">
        <w:t>there are four different PMI choices</w:t>
      </w:r>
      <w:r w:rsidR="00AA0861">
        <w:t xml:space="preserve"> for single</w:t>
      </w:r>
      <w:r w:rsidR="00C2329B">
        <w:t>-</w:t>
      </w:r>
      <w:r w:rsidR="00AA0861">
        <w:t xml:space="preserve">layer </w:t>
      </w:r>
      <w:r w:rsidR="00EE3EFE">
        <w:t xml:space="preserve">per-panel </w:t>
      </w:r>
      <w:r w:rsidR="00AA0861">
        <w:t xml:space="preserve">transmission and </w:t>
      </w:r>
      <w:r w:rsidR="00C2329B">
        <w:t>three choices</w:t>
      </w:r>
      <w:r w:rsidR="00AA0861">
        <w:t xml:space="preserve"> for dual</w:t>
      </w:r>
      <w:r w:rsidR="00C2329B">
        <w:t>-</w:t>
      </w:r>
      <w:r w:rsidR="00AA0861">
        <w:t xml:space="preserve">layer </w:t>
      </w:r>
      <w:r w:rsidR="00EE3EFE">
        <w:t xml:space="preserve">per-panel </w:t>
      </w:r>
      <w:r w:rsidR="00AA0861">
        <w:t>transmission.</w:t>
      </w:r>
      <w:r w:rsidR="008E7806">
        <w:t xml:space="preserve"> </w:t>
      </w:r>
      <w:r w:rsidR="00AA0861">
        <w:t>I</w:t>
      </w:r>
      <w:r w:rsidR="00E12A3D">
        <w:t xml:space="preserve">n case of two beams (four ports) there are </w:t>
      </w:r>
      <w:r>
        <w:t xml:space="preserve">16 </w:t>
      </w:r>
      <w:r w:rsidR="00E12A3D">
        <w:t xml:space="preserve">different </w:t>
      </w:r>
      <w:r>
        <w:t>PMI</w:t>
      </w:r>
      <w:r w:rsidR="00E12A3D">
        <w:t xml:space="preserve"> choices</w:t>
      </w:r>
      <w:r w:rsidR="00AA0861">
        <w:t xml:space="preserve"> for two layer transmissions</w:t>
      </w:r>
      <w:r w:rsidR="00E12A3D">
        <w:t>.</w:t>
      </w:r>
      <w:r>
        <w:t xml:space="preserve"> </w:t>
      </w:r>
      <w:r w:rsidR="00916F05">
        <w:t xml:space="preserve">The total output power is always kept the same no </w:t>
      </w:r>
      <w:r w:rsidR="000E5A1F">
        <w:t>matter if</w:t>
      </w:r>
      <w:r w:rsidR="00B00B27">
        <w:t xml:space="preserve"> two or four ports are being used </w:t>
      </w:r>
      <w:r w:rsidR="00EE3EFE">
        <w:t xml:space="preserve">or if the UE is </w:t>
      </w:r>
      <w:r w:rsidR="00B00B27">
        <w:t>transmitting one or two layer</w:t>
      </w:r>
      <w:r w:rsidR="00EE3EFE">
        <w:t>s</w:t>
      </w:r>
      <w:r w:rsidR="00B00B27">
        <w:t>.</w:t>
      </w:r>
      <w:r w:rsidR="00916F05">
        <w:t xml:space="preserve"> </w:t>
      </w:r>
      <w:r w:rsidR="00B00B27">
        <w:t>Consequently</w:t>
      </w:r>
      <w:r w:rsidR="00EE3EFE">
        <w:t>,</w:t>
      </w:r>
      <w:r w:rsidR="00916F05">
        <w:t xml:space="preserve"> there is no output power gain from increasing the number of used ports in the results.</w:t>
      </w:r>
    </w:p>
    <w:p w14:paraId="17CFA0D4" w14:textId="67F977C4" w:rsidR="00BB0958" w:rsidRDefault="00CD70E1" w:rsidP="000F5978">
      <w:r>
        <w:fldChar w:fldCharType="begin"/>
      </w:r>
      <w:r>
        <w:instrText xml:space="preserve"> REF _Ref485378837 \h </w:instrText>
      </w:r>
      <w:r>
        <w:fldChar w:fldCharType="separate"/>
      </w:r>
      <w:r>
        <w:t xml:space="preserve">Figure </w:t>
      </w:r>
      <w:r>
        <w:rPr>
          <w:noProof/>
        </w:rPr>
        <w:t>1</w:t>
      </w:r>
      <w:r>
        <w:fldChar w:fldCharType="end"/>
      </w:r>
      <w:r>
        <w:t xml:space="preserve"> </w:t>
      </w:r>
      <w:r w:rsidR="00A3070A">
        <w:t>show</w:t>
      </w:r>
      <w:r w:rsidR="00A15A51">
        <w:t>s</w:t>
      </w:r>
      <w:r w:rsidR="00A3070A">
        <w:t xml:space="preserve"> </w:t>
      </w:r>
      <w:r w:rsidR="00894569">
        <w:t>CDFs</w:t>
      </w:r>
      <w:r w:rsidR="00A3070A">
        <w:t xml:space="preserve"> for </w:t>
      </w:r>
      <w:r w:rsidR="00262E4F">
        <w:t xml:space="preserve">the 3 different precoding approaches. </w:t>
      </w:r>
      <w:r w:rsidR="00571466">
        <w:t xml:space="preserve">A simple Shannon capacity measure is used where the layers are separated with an MMSE-IRC receiver.  </w:t>
      </w:r>
      <w:r w:rsidR="00262E4F">
        <w:t>There</w:t>
      </w:r>
      <w:r w:rsidR="00C2329B">
        <w:t xml:space="preserve"> are</w:t>
      </w:r>
      <w:r w:rsidR="00262E4F">
        <w:t xml:space="preserve"> two sets of curves: one at a relatively low power affording about 1.5 bps/Hz, and another that is 12 dB higher.  The particular powers were chosen </w:t>
      </w:r>
      <w:r w:rsidR="00BB0958">
        <w:t xml:space="preserve">for illustration purposes </w:t>
      </w:r>
      <w:r w:rsidR="00262E4F">
        <w:t xml:space="preserve">to be consistent with where </w:t>
      </w:r>
      <w:r w:rsidR="00C2329B">
        <w:t>dual-</w:t>
      </w:r>
      <w:r w:rsidR="00262E4F">
        <w:t xml:space="preserve">layer operation would not be as beneficial and where it would be highly beneficial.  </w:t>
      </w:r>
    </w:p>
    <w:p w14:paraId="66412829" w14:textId="4578F78C" w:rsidR="00A3070A" w:rsidRDefault="0040018B" w:rsidP="000F5978">
      <w:r>
        <w:t xml:space="preserve">From </w:t>
      </w:r>
      <w:r w:rsidR="00C2329B">
        <w:t xml:space="preserve">Figure </w:t>
      </w:r>
      <w:r w:rsidR="00C2329B">
        <w:fldChar w:fldCharType="begin"/>
      </w:r>
      <w:r w:rsidR="00C2329B">
        <w:instrText xml:space="preserve"> SEQ Figure \* ARABIC </w:instrText>
      </w:r>
      <w:r w:rsidR="00C2329B">
        <w:fldChar w:fldCharType="separate"/>
      </w:r>
      <w:r w:rsidR="00C2329B">
        <w:rPr>
          <w:noProof/>
        </w:rPr>
        <w:t>1</w:t>
      </w:r>
      <w:r w:rsidR="00C2329B">
        <w:fldChar w:fldCharType="end"/>
      </w:r>
      <w:r w:rsidR="00BB0958">
        <w:t xml:space="preserve">we see the expected result that at lower SINRs, selecting the best antenna and using single antenna transmission </w:t>
      </w:r>
      <w:r>
        <w:t xml:space="preserve">can be </w:t>
      </w:r>
      <w:r w:rsidR="00BB0958">
        <w:t xml:space="preserve">competitive with </w:t>
      </w:r>
      <w:r w:rsidR="00C2329B">
        <w:t>dual-</w:t>
      </w:r>
      <w:r w:rsidR="00BB0958">
        <w:t>layer transmission.  Howe</w:t>
      </w:r>
      <w:r w:rsidR="000D3E39">
        <w:t>ver, we do observe about a 5</w:t>
      </w:r>
      <w:r w:rsidR="00BB0958">
        <w:t xml:space="preserve">% mean spectral efficiency gain from </w:t>
      </w:r>
      <w:r w:rsidR="00EE3EFE">
        <w:t xml:space="preserve">using coherent </w:t>
      </w:r>
      <w:r>
        <w:t>multi-panel transmission</w:t>
      </w:r>
      <w:r w:rsidR="00EE3EFE">
        <w:t xml:space="preserve"> relative to </w:t>
      </w:r>
      <w:r>
        <w:t>panel selection</w:t>
      </w:r>
      <w:r w:rsidR="00EE3EFE">
        <w:t xml:space="preserve">.  </w:t>
      </w:r>
      <w:r w:rsidR="00BB0958">
        <w:t>At the higher SNRs, the ability to transmit non-coherently over two panels bring substantial spectral efficiency gains</w:t>
      </w:r>
      <w:r w:rsidR="000D3E39">
        <w:t>: 24</w:t>
      </w:r>
      <w:r>
        <w:t xml:space="preserve">% mean and </w:t>
      </w:r>
      <w:r w:rsidR="00BD671A">
        <w:t>17</w:t>
      </w:r>
      <w:r>
        <w:t>% median throughput gain relative to panel selection.  Coherent multi-panel transmission</w:t>
      </w:r>
      <w:r w:rsidR="00571466">
        <w:t xml:space="preserve"> performs better still, such that it has </w:t>
      </w:r>
      <w:r w:rsidR="00BD671A">
        <w:t>30% mean and 22</w:t>
      </w:r>
      <w:r w:rsidR="00571466">
        <w:t>% median gain over panel selection.</w:t>
      </w:r>
    </w:p>
    <w:p w14:paraId="6CAEA8D3" w14:textId="609DBF22" w:rsidR="00C0761A" w:rsidRDefault="00BD671A" w:rsidP="0035390C">
      <w:pPr>
        <w:jc w:val="center"/>
      </w:pPr>
      <w:r>
        <w:rPr>
          <w:noProof/>
          <w:lang w:val="en-US" w:eastAsia="en-US"/>
        </w:rPr>
        <w:drawing>
          <wp:inline distT="0" distB="0" distL="0" distR="0" wp14:anchorId="07A859FB" wp14:editId="11832D61">
            <wp:extent cx="5943600" cy="4191000"/>
            <wp:effectExtent l="0" t="0" r="0" b="0"/>
            <wp:docPr id="10" name="Picture 10" descr="C:\vbox_shared\two layer coherent vs selection 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vbox_shared\two layer coherent vs selection r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191000"/>
                    </a:xfrm>
                    <a:prstGeom prst="rect">
                      <a:avLst/>
                    </a:prstGeom>
                    <a:noFill/>
                    <a:ln>
                      <a:noFill/>
                    </a:ln>
                  </pic:spPr>
                </pic:pic>
              </a:graphicData>
            </a:graphic>
          </wp:inline>
        </w:drawing>
      </w:r>
    </w:p>
    <w:p w14:paraId="038F9121" w14:textId="7A52571E" w:rsidR="00A3070A" w:rsidRDefault="00A3070A" w:rsidP="00A3070A">
      <w:pPr>
        <w:pStyle w:val="Caption"/>
      </w:pPr>
      <w:bookmarkStart w:id="2" w:name="_Ref485378837"/>
      <w:bookmarkStart w:id="3" w:name="_Hlk485303490"/>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BB0958">
        <w:t>Spectral Efficiency of Panel Selection vs. Multi-Panel Transmission</w:t>
      </w:r>
    </w:p>
    <w:p w14:paraId="19F7D3AF" w14:textId="77158620" w:rsidR="00F17328" w:rsidRPr="00F17328" w:rsidRDefault="00F17328" w:rsidP="00F17328">
      <w:pPr>
        <w:pStyle w:val="Caption"/>
      </w:pPr>
    </w:p>
    <w:p w14:paraId="24FEE2DB" w14:textId="5480AD77" w:rsidR="00794690" w:rsidRDefault="00794690" w:rsidP="0035390C">
      <w:pPr>
        <w:pStyle w:val="Observation"/>
        <w:ind w:left="1701" w:hanging="1701"/>
      </w:pPr>
      <w:bookmarkStart w:id="4" w:name="_Toc490173625"/>
      <w:bookmarkStart w:id="5" w:name="_Toc490173626"/>
      <w:bookmarkStart w:id="6" w:name="_Toc490173627"/>
      <w:bookmarkStart w:id="7" w:name="_Toc490173628"/>
      <w:bookmarkStart w:id="8" w:name="_Toc490173629"/>
      <w:bookmarkStart w:id="9" w:name="_Toc490173630"/>
      <w:bookmarkStart w:id="10" w:name="_Toc490253101"/>
      <w:bookmarkStart w:id="11" w:name="_Toc481694529"/>
      <w:bookmarkEnd w:id="3"/>
      <w:bookmarkEnd w:id="4"/>
      <w:bookmarkEnd w:id="5"/>
      <w:bookmarkEnd w:id="6"/>
      <w:bookmarkEnd w:id="7"/>
      <w:bookmarkEnd w:id="8"/>
      <w:bookmarkEnd w:id="9"/>
      <w:r>
        <w:lastRenderedPageBreak/>
        <w:t xml:space="preserve">Devices not capable of coherent multi-panel transmission can achieve </w:t>
      </w:r>
      <w:r w:rsidR="008B11C2">
        <w:t xml:space="preserve">substantially </w:t>
      </w:r>
      <w:r>
        <w:t xml:space="preserve">increased throughput </w:t>
      </w:r>
      <w:r w:rsidR="00F17328">
        <w:t xml:space="preserve">(20-30%) </w:t>
      </w:r>
      <w:r>
        <w:t>by transmitting two layers on two panels</w:t>
      </w:r>
      <w:r w:rsidR="00C063D4">
        <w:t xml:space="preserve"> using two TPMI rather than selecting the best panel with its corresponding TPMI for transmission.</w:t>
      </w:r>
      <w:bookmarkEnd w:id="10"/>
    </w:p>
    <w:p w14:paraId="491397E0" w14:textId="2B5E5B33" w:rsidR="00B82916" w:rsidRDefault="003B7F45" w:rsidP="0035390C">
      <w:pPr>
        <w:pStyle w:val="Observation"/>
        <w:ind w:left="1701" w:hanging="1701"/>
      </w:pPr>
      <w:bookmarkStart w:id="12" w:name="_Toc490253102"/>
      <w:r>
        <w:t xml:space="preserve">Coherent transmission across panels </w:t>
      </w:r>
      <w:r w:rsidR="00571466">
        <w:t xml:space="preserve">can provide </w:t>
      </w:r>
      <w:r w:rsidR="00154397">
        <w:t xml:space="preserve">some </w:t>
      </w:r>
      <w:r w:rsidR="00571466">
        <w:t xml:space="preserve">additional spectral efficiency improvements over purely non-coherent inter-panel </w:t>
      </w:r>
      <w:r w:rsidR="008B11C2">
        <w:t xml:space="preserve">for rank 2 </w:t>
      </w:r>
      <w:r w:rsidR="00571466">
        <w:t>transmission</w:t>
      </w:r>
      <w:r w:rsidR="00EE3EFE">
        <w:t>.</w:t>
      </w:r>
      <w:bookmarkEnd w:id="12"/>
    </w:p>
    <w:p w14:paraId="7B430495" w14:textId="034E0054" w:rsidR="00C063D4" w:rsidRDefault="00C063D4" w:rsidP="0035390C">
      <w:pPr>
        <w:pStyle w:val="Proposal"/>
        <w:tabs>
          <w:tab w:val="clear" w:pos="1304"/>
        </w:tabs>
        <w:ind w:left="1701" w:hanging="1701"/>
      </w:pPr>
      <w:bookmarkStart w:id="13" w:name="_Toc490169204"/>
      <w:bookmarkStart w:id="14" w:name="_Toc490173634"/>
      <w:bookmarkStart w:id="15" w:name="_Toc490253104"/>
      <w:r>
        <w:t>Multiple TPMI</w:t>
      </w:r>
      <w:r w:rsidR="00EE3EFE">
        <w:t>s</w:t>
      </w:r>
      <w:r>
        <w:t xml:space="preserve"> can be signalled to allow non-coherent transmission over SRS ports belongi</w:t>
      </w:r>
      <w:r w:rsidR="00EE3EFE">
        <w:t xml:space="preserve">ng to different </w:t>
      </w:r>
      <w:r>
        <w:t>SRS resources</w:t>
      </w:r>
      <w:r w:rsidR="00EE3EFE">
        <w:t xml:space="preserve"> (i.e. different panels)</w:t>
      </w:r>
      <w:r>
        <w:t>.</w:t>
      </w:r>
      <w:bookmarkEnd w:id="13"/>
      <w:bookmarkEnd w:id="14"/>
      <w:bookmarkEnd w:id="15"/>
    </w:p>
    <w:p w14:paraId="7D41F907" w14:textId="3182C2D4" w:rsidR="00166D78" w:rsidRPr="00F301BB" w:rsidRDefault="00166D78" w:rsidP="00166D78">
      <w:pPr>
        <w:pStyle w:val="Heading2"/>
      </w:pPr>
      <w:r>
        <w:t>Power combining and PA power assumptions</w:t>
      </w:r>
    </w:p>
    <w:p w14:paraId="07193754" w14:textId="151BFB44" w:rsidR="00C063D4" w:rsidRDefault="004258A6" w:rsidP="0035390C">
      <w:r>
        <w:t>It is generally beneficial in terms of UE complexity and UE current drain to use power amplifie</w:t>
      </w:r>
      <w:r w:rsidR="00154397">
        <w:t>r</w:t>
      </w:r>
      <w:r>
        <w:t xml:space="preserve">s with as low a peak power output capability as possible.  Since the power from multiple PAs can combine, one benefit of using UL MIMO </w:t>
      </w:r>
      <w:r w:rsidR="00C62611">
        <w:t xml:space="preserve">could potentially </w:t>
      </w:r>
      <w:r>
        <w:t xml:space="preserve">be to reduce the maximum power requirements per PA.  For example, instead of having one 23 dBm capable PA in a single antenna UE, a UL MIMO UE might require two PAs with 20 dBm each.  However, using multiple PAs to reach peak power requirements in order to meet peak power requirements and/or extend range can be difficult to achieve in all UE implementations and </w:t>
      </w:r>
      <w:r w:rsidR="00781F71">
        <w:t>operating conditions.  For example, a given antenna element could be covered by the user’s hand, losing half the power.  Also, some gNBs may not support UL MIMO, in which case the UE must virtualize the two antennas</w:t>
      </w:r>
      <w:r w:rsidR="00EE3EFE">
        <w:t xml:space="preserve"> for form a single effective antenna</w:t>
      </w:r>
      <w:r w:rsidR="00781F71">
        <w:t>, or simply use at least one full power PA.  However, if the UE has two full power PAs, it must ensure that it does not exceed it</w:t>
      </w:r>
      <w:r w:rsidR="00C62611">
        <w:t>s</w:t>
      </w:r>
      <w:r w:rsidR="00781F71">
        <w:t xml:space="preserve"> maximum transmit power, and so in that sense could not actually </w:t>
      </w:r>
      <w:r w:rsidR="00C62611">
        <w:t xml:space="preserve">use power combining to </w:t>
      </w:r>
      <w:r w:rsidR="00781F71">
        <w:t xml:space="preserve">extend </w:t>
      </w:r>
      <w:r w:rsidR="00C62611">
        <w:t xml:space="preserve">its UL range </w:t>
      </w:r>
      <w:r w:rsidR="00781F71">
        <w:t>beyond what one of its PAs could achieve.</w:t>
      </w:r>
    </w:p>
    <w:p w14:paraId="2C60BA19" w14:textId="11115C99" w:rsidR="002E6966" w:rsidRDefault="002E6966" w:rsidP="002E6966">
      <w:pPr>
        <w:pStyle w:val="Observation"/>
        <w:ind w:left="1701" w:hanging="1701"/>
      </w:pPr>
      <w:bookmarkStart w:id="16" w:name="_Toc490253103"/>
      <w:r>
        <w:t>Benefits of PA power combining can vary according to UE implementation, radio conditions, and network configuration.</w:t>
      </w:r>
      <w:bookmarkEnd w:id="16"/>
    </w:p>
    <w:p w14:paraId="3CA0BD76" w14:textId="63E256DA" w:rsidR="002E6966" w:rsidRDefault="002E6966" w:rsidP="0035390C">
      <w:pPr>
        <w:pStyle w:val="Proposal"/>
        <w:tabs>
          <w:tab w:val="clear" w:pos="1304"/>
        </w:tabs>
        <w:ind w:left="1701" w:hanging="1701"/>
      </w:pPr>
      <w:bookmarkStart w:id="17" w:name="_Toc490169205"/>
      <w:bookmarkStart w:id="18" w:name="_Toc490173635"/>
      <w:bookmarkStart w:id="19" w:name="_Toc490253105"/>
      <w:r>
        <w:t xml:space="preserve">NR UL MIMO should be designed without </w:t>
      </w:r>
      <w:r w:rsidR="00C62611">
        <w:t>making assumptions on whether or not each of the UE’s PAs can deliver the UE’s rated maximum transmit power.</w:t>
      </w:r>
      <w:bookmarkEnd w:id="17"/>
      <w:bookmarkEnd w:id="18"/>
      <w:bookmarkEnd w:id="19"/>
    </w:p>
    <w:p w14:paraId="7D2AD876" w14:textId="5084D170" w:rsidR="00C62611" w:rsidRDefault="00C62611" w:rsidP="0035390C">
      <w:pPr>
        <w:pStyle w:val="Proposal"/>
        <w:tabs>
          <w:tab w:val="clear" w:pos="1304"/>
        </w:tabs>
        <w:ind w:left="1701" w:hanging="1701"/>
      </w:pPr>
      <w:bookmarkStart w:id="20" w:name="_Toc490169206"/>
      <w:bookmarkStart w:id="21" w:name="_Toc490173636"/>
      <w:bookmarkStart w:id="22" w:name="_Toc490253106"/>
      <w:r>
        <w:t xml:space="preserve">NR UL MIMO should support a wide variety of UL MIMO implementations, including those that benefit from </w:t>
      </w:r>
      <w:r w:rsidR="004E5822">
        <w:t xml:space="preserve">either coherent or non-coherent </w:t>
      </w:r>
      <w:r>
        <w:t>power c</w:t>
      </w:r>
      <w:r w:rsidR="004E5822">
        <w:t>ombining</w:t>
      </w:r>
      <w:bookmarkEnd w:id="20"/>
      <w:bookmarkEnd w:id="21"/>
      <w:bookmarkEnd w:id="22"/>
    </w:p>
    <w:bookmarkEnd w:id="11"/>
    <w:p w14:paraId="6F457B57" w14:textId="77777777" w:rsidR="00016B61" w:rsidRDefault="000F5978" w:rsidP="00971BB3">
      <w:pPr>
        <w:pStyle w:val="Heading1"/>
      </w:pPr>
      <w:r>
        <w:t>Conclusions</w:t>
      </w:r>
    </w:p>
    <w:p w14:paraId="57999FEE" w14:textId="2AC991E5" w:rsidR="00EA3EB3" w:rsidRDefault="00EA3EB3" w:rsidP="00164BA1">
      <w:r w:rsidRPr="00EA3EB3">
        <w:t xml:space="preserve">In this contribution, we considered the potential of coherent inter-panel transmission, making the following observations:  </w:t>
      </w:r>
    </w:p>
    <w:p w14:paraId="3A404B28" w14:textId="2CB2C523" w:rsidR="00931FA5" w:rsidRDefault="003127C9">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253101" w:history="1">
        <w:r w:rsidR="00931FA5" w:rsidRPr="0065138F">
          <w:rPr>
            <w:rStyle w:val="Hyperlink"/>
          </w:rPr>
          <w:t>Observation 1</w:t>
        </w:r>
        <w:r w:rsidR="00931FA5">
          <w:rPr>
            <w:rFonts w:asciiTheme="minorHAnsi" w:eastAsiaTheme="minorEastAsia" w:hAnsiTheme="minorHAnsi" w:cstheme="minorBidi"/>
            <w:b w:val="0"/>
            <w:sz w:val="22"/>
            <w:lang w:eastAsia="en-US"/>
          </w:rPr>
          <w:tab/>
        </w:r>
        <w:r w:rsidR="00931FA5" w:rsidRPr="0065138F">
          <w:rPr>
            <w:rStyle w:val="Hyperlink"/>
          </w:rPr>
          <w:t>Devices not capable of coherent multi-panel transmission can achieve substantially increased throughput (20-30%) by transmitting two layers on two panels using two TPMI rather than selecting the best panel with its corresponding TPMI for transmission.</w:t>
        </w:r>
      </w:hyperlink>
    </w:p>
    <w:p w14:paraId="4F901C04" w14:textId="2B46E9F9" w:rsidR="00931FA5" w:rsidRDefault="00931FA5">
      <w:pPr>
        <w:pStyle w:val="TOC1"/>
        <w:rPr>
          <w:rFonts w:asciiTheme="minorHAnsi" w:eastAsiaTheme="minorEastAsia" w:hAnsiTheme="minorHAnsi" w:cstheme="minorBidi"/>
          <w:b w:val="0"/>
          <w:sz w:val="22"/>
          <w:lang w:eastAsia="en-US"/>
        </w:rPr>
      </w:pPr>
      <w:hyperlink w:anchor="_Toc490253102" w:history="1">
        <w:r w:rsidRPr="0065138F">
          <w:rPr>
            <w:rStyle w:val="Hyperlink"/>
          </w:rPr>
          <w:t>Observation 2</w:t>
        </w:r>
        <w:r>
          <w:rPr>
            <w:rFonts w:asciiTheme="minorHAnsi" w:eastAsiaTheme="minorEastAsia" w:hAnsiTheme="minorHAnsi" w:cstheme="minorBidi"/>
            <w:b w:val="0"/>
            <w:sz w:val="22"/>
            <w:lang w:eastAsia="en-US"/>
          </w:rPr>
          <w:tab/>
        </w:r>
        <w:r w:rsidRPr="0065138F">
          <w:rPr>
            <w:rStyle w:val="Hyperlink"/>
          </w:rPr>
          <w:t>Coherent transmission across panels can provide some additional spectral efficiency improvements over purely non-coherent inter-panel for rank 2 transmission.</w:t>
        </w:r>
      </w:hyperlink>
    </w:p>
    <w:p w14:paraId="668FA12A" w14:textId="163496D7" w:rsidR="00931FA5" w:rsidRDefault="00931FA5">
      <w:pPr>
        <w:pStyle w:val="TOC1"/>
        <w:rPr>
          <w:rFonts w:asciiTheme="minorHAnsi" w:eastAsiaTheme="minorEastAsia" w:hAnsiTheme="minorHAnsi" w:cstheme="minorBidi"/>
          <w:b w:val="0"/>
          <w:sz w:val="22"/>
          <w:lang w:eastAsia="en-US"/>
        </w:rPr>
      </w:pPr>
      <w:hyperlink w:anchor="_Toc490253103" w:history="1">
        <w:r w:rsidRPr="0065138F">
          <w:rPr>
            <w:rStyle w:val="Hyperlink"/>
          </w:rPr>
          <w:t>Observation 3</w:t>
        </w:r>
        <w:r>
          <w:rPr>
            <w:rFonts w:asciiTheme="minorHAnsi" w:eastAsiaTheme="minorEastAsia" w:hAnsiTheme="minorHAnsi" w:cstheme="minorBidi"/>
            <w:b w:val="0"/>
            <w:sz w:val="22"/>
            <w:lang w:eastAsia="en-US"/>
          </w:rPr>
          <w:tab/>
        </w:r>
        <w:r w:rsidRPr="0065138F">
          <w:rPr>
            <w:rStyle w:val="Hyperlink"/>
          </w:rPr>
          <w:t>Benefits of PA power combining can vary according to UE implementation, radio conditions, and network configuration.</w:t>
        </w:r>
      </w:hyperlink>
    </w:p>
    <w:p w14:paraId="527AF637" w14:textId="77777777" w:rsidR="003127C9" w:rsidRDefault="003127C9" w:rsidP="00164BA1">
      <w:pPr>
        <w:pStyle w:val="BodyText"/>
        <w:rPr>
          <w:bCs/>
        </w:rPr>
      </w:pPr>
      <w:r>
        <w:rPr>
          <w:bCs/>
          <w:noProof/>
          <w:szCs w:val="22"/>
          <w:lang w:val="en-US"/>
        </w:rPr>
        <w:fldChar w:fldCharType="end"/>
      </w:r>
    </w:p>
    <w:p w14:paraId="52447A64" w14:textId="77777777" w:rsidR="00AB48B8" w:rsidRPr="00EA3EB3" w:rsidRDefault="00EA3EB3" w:rsidP="00164BA1">
      <w:pPr>
        <w:pStyle w:val="BodyText"/>
      </w:pPr>
      <w:r>
        <w:t xml:space="preserve">Given the </w:t>
      </w:r>
      <w:r w:rsidRPr="00EA3EB3">
        <w:t>observation</w:t>
      </w:r>
      <w:r>
        <w:t>s,</w:t>
      </w:r>
      <w:r w:rsidR="003E4112" w:rsidRPr="00EA3EB3">
        <w:t xml:space="preserve"> we propose</w:t>
      </w:r>
      <w:r>
        <w:t>:</w:t>
      </w:r>
    </w:p>
    <w:p w14:paraId="204CAEB8" w14:textId="77777777" w:rsidR="00931FA5" w:rsidRDefault="003E4112">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31FA5">
        <w:t>Proposal 1</w:t>
      </w:r>
      <w:r w:rsidR="00931FA5">
        <w:rPr>
          <w:rFonts w:asciiTheme="minorHAnsi" w:eastAsiaTheme="minorEastAsia" w:hAnsiTheme="minorHAnsi" w:cstheme="minorBidi"/>
          <w:b w:val="0"/>
          <w:sz w:val="22"/>
          <w:lang w:eastAsia="en-US"/>
        </w:rPr>
        <w:tab/>
      </w:r>
      <w:r w:rsidR="00931FA5">
        <w:t>Multiple TPMIs can be signalled to allow non-coherent transmission over SRS ports belonging to different SRS resources (i.e. different panels).</w:t>
      </w:r>
    </w:p>
    <w:p w14:paraId="38D78D1B" w14:textId="77777777" w:rsidR="00931FA5" w:rsidRDefault="00931FA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 UL MIMO should be designed without making assumptions on whether or not each of the UE’s PAs can deliver the UE’s rated maximum transmit power.</w:t>
      </w:r>
    </w:p>
    <w:p w14:paraId="404D0A7E" w14:textId="77777777" w:rsidR="00931FA5" w:rsidRDefault="00931FA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 UL MIMO should support a wide variety of UL MIMO implementations, including those that benefit from either coherent or non-coherent power combining</w:t>
      </w:r>
    </w:p>
    <w:p w14:paraId="2AD4B512" w14:textId="77777777" w:rsidR="000F5978" w:rsidRDefault="003E4112" w:rsidP="003E4112">
      <w:r>
        <w:rPr>
          <w:b/>
          <w:bCs/>
        </w:rPr>
        <w:fldChar w:fldCharType="end"/>
      </w:r>
    </w:p>
    <w:p w14:paraId="3D334EA7" w14:textId="77777777" w:rsidR="000F5978" w:rsidRDefault="000F5978" w:rsidP="000F5978">
      <w:pPr>
        <w:pStyle w:val="Heading1"/>
      </w:pPr>
      <w:r>
        <w:lastRenderedPageBreak/>
        <w:t>References</w:t>
      </w:r>
    </w:p>
    <w:p w14:paraId="262306E7" w14:textId="77777777" w:rsidR="008E1545" w:rsidRPr="0035390C" w:rsidRDefault="008E1545" w:rsidP="008E1545">
      <w:pPr>
        <w:pStyle w:val="references"/>
        <w:rPr>
          <w:sz w:val="20"/>
          <w:szCs w:val="20"/>
        </w:rPr>
      </w:pPr>
      <w:r w:rsidRPr="0035390C">
        <w:rPr>
          <w:sz w:val="20"/>
          <w:szCs w:val="20"/>
        </w:rPr>
        <w:t>3GPP TR 38.802 v14.0.0, “Study on New Radio Access Technology; Physical Layer Aspects (Release 14)”, March 2017</w:t>
      </w:r>
    </w:p>
    <w:p w14:paraId="768255A8" w14:textId="186D8ABA" w:rsidR="008E1545" w:rsidRPr="0035390C" w:rsidRDefault="008E1545" w:rsidP="008E1545">
      <w:pPr>
        <w:pStyle w:val="references"/>
        <w:rPr>
          <w:sz w:val="20"/>
          <w:szCs w:val="20"/>
        </w:rPr>
      </w:pPr>
      <w:bookmarkStart w:id="23" w:name="_Ref490169822"/>
      <w:r w:rsidRPr="0035390C">
        <w:rPr>
          <w:sz w:val="20"/>
          <w:szCs w:val="20"/>
        </w:rPr>
        <w:t>R1-</w:t>
      </w:r>
      <w:r w:rsidRPr="008E1545">
        <w:rPr>
          <w:sz w:val="20"/>
          <w:szCs w:val="20"/>
        </w:rPr>
        <w:t>1708674</w:t>
      </w:r>
      <w:r w:rsidRPr="0035390C">
        <w:rPr>
          <w:sz w:val="20"/>
          <w:szCs w:val="20"/>
        </w:rPr>
        <w:t>, “UL multi-panel transmission”, Ericsson, 3GPP TSG RAN WG1 Meeting #89ah-NR, Hangzhou, China, May</w:t>
      </w:r>
      <w:r>
        <w:rPr>
          <w:sz w:val="20"/>
          <w:szCs w:val="20"/>
        </w:rPr>
        <w:t xml:space="preserve"> 15-19</w:t>
      </w:r>
      <w:r w:rsidRPr="0035390C">
        <w:rPr>
          <w:sz w:val="20"/>
          <w:szCs w:val="20"/>
        </w:rPr>
        <w:t>, 2017</w:t>
      </w:r>
      <w:bookmarkEnd w:id="23"/>
    </w:p>
    <w:p w14:paraId="4231F054" w14:textId="77777777" w:rsidR="008E1545" w:rsidRPr="0035390C" w:rsidRDefault="008E1545" w:rsidP="0035390C">
      <w:pPr>
        <w:pStyle w:val="references"/>
      </w:pPr>
      <w:bookmarkStart w:id="24" w:name="_Ref490173680"/>
      <w:r w:rsidRPr="0035390C">
        <w:rPr>
          <w:sz w:val="20"/>
          <w:szCs w:val="20"/>
        </w:rPr>
        <w:t>R1-1711012, “UL multi-panel transmission”, Ericsson, 3GPP TSG RAN WG1 Meeting #89ah-NR, Qingdao, China, June 27-30, 2017</w:t>
      </w:r>
      <w:bookmarkEnd w:id="24"/>
    </w:p>
    <w:p w14:paraId="3648F32D" w14:textId="77777777" w:rsidR="003E4112" w:rsidRDefault="003E4112" w:rsidP="0035390C">
      <w:pPr>
        <w:pStyle w:val="references"/>
        <w:numPr>
          <w:ilvl w:val="0"/>
          <w:numId w:val="0"/>
        </w:numPr>
        <w:ind w:left="360"/>
      </w:pPr>
    </w:p>
    <w:p w14:paraId="27A5DA18" w14:textId="52D10EC5" w:rsidR="002B5AE5" w:rsidRDefault="003531E6" w:rsidP="0035390C">
      <w:pPr>
        <w:pStyle w:val="Heading1"/>
      </w:pPr>
      <w:bookmarkStart w:id="25" w:name="_In-sequence_SDU_delivery"/>
      <w:bookmarkEnd w:id="1"/>
      <w:bookmarkEnd w:id="25"/>
      <w:r>
        <w:t>Simulation Details</w:t>
      </w:r>
    </w:p>
    <w:p w14:paraId="45607C58" w14:textId="77777777" w:rsidR="003531E6" w:rsidRDefault="003531E6" w:rsidP="003531E6">
      <w:r>
        <w:t>Different types of antenna configurations at the UE have been agreed for NR evaluations and can be found in [1], table A.2.1-4. For carrier frequencies below 6GHz, ULA antenna configurations comprise a single panel of dual polarized elements with omnidirectional beam patterns. For carrier frequency above 6GHz, the configurations include 2 and 4 panels, pointing in different directions to have quasi-omnidirectional coverage and each individual panel is either single or dual polarized. Element patterns have 90° half power beamwidth both in elevation and azimuth.</w:t>
      </w:r>
    </w:p>
    <w:p w14:paraId="2188D9B3" w14:textId="0F1FE898" w:rsidR="003531E6" w:rsidRDefault="003531E6" w:rsidP="003531E6">
      <w:r>
        <w:t xml:space="preserve">In case panel orientations differ by 90°, the crossover gain (the gain at 45° off boresight) becomes -3dB compared to the gain in the boresight direction. Further, the element gain difference is small between adjacent panels in a significantly wide sector around the crossover direction which indicates that there is a potential for substantial gains by performing coherent transmission across panels. A simplified analysis on potential gains in a LOS scenario was presented in </w:t>
      </w:r>
      <w:r w:rsidR="008E1545">
        <w:fldChar w:fldCharType="begin"/>
      </w:r>
      <w:r w:rsidR="008E1545">
        <w:instrText xml:space="preserve"> REF _Ref490169822 \r \h </w:instrText>
      </w:r>
      <w:r w:rsidR="008E1545">
        <w:fldChar w:fldCharType="separate"/>
      </w:r>
      <w:r w:rsidR="008E1545">
        <w:t>[2]</w:t>
      </w:r>
      <w:r w:rsidR="008E1545">
        <w:fldChar w:fldCharType="end"/>
      </w:r>
      <w:r>
        <w:t xml:space="preserve">. </w:t>
      </w:r>
    </w:p>
    <w:p w14:paraId="1A1476DB" w14:textId="647AD9D0" w:rsidR="003531E6" w:rsidRDefault="003531E6" w:rsidP="003531E6">
      <w:r>
        <w:t xml:space="preserve">The antenna setup used </w:t>
      </w:r>
      <w:r w:rsidR="00643AC8">
        <w:t xml:space="preserve">in this contribution </w:t>
      </w:r>
      <w:r>
        <w:t>comprises four panels, each with 4 dual polarized elements, and with 90 degree difference in pointing direction between adjacent panels. The channels are generated for a single dual polarized element at the gNB for the sake of simplifying the analysis as there will be no need for beam management nor UE specific beamforming at the gNB. Channels have been generated for a total of 11400 channel realizations, each channel comprising 48 frequency samples representing different RBs (resource blocks). The subcarrier spacing was set to 120kHz. The different channel realizations are representative for different UEs in different locations in the network.</w:t>
      </w:r>
    </w:p>
    <w:p w14:paraId="1E206655" w14:textId="77777777" w:rsidR="003531E6" w:rsidRDefault="003531E6" w:rsidP="003531E6">
      <w:r>
        <w:t>To mimic the beam finding process several DFT beams, typically four, have been evaluated for each panel at the UE. The same DFT beam is assumed for both UE polarizations and the one showing the best metric, the total received power on downlink over all RBs, i.e. over both gNB antennas as well as UE beam polarizations, is selected as a beam candidate for the panel. Note that each beam has two ports with mutually orthogonal polarizations.</w:t>
      </w:r>
    </w:p>
    <w:p w14:paraId="5C029C40" w14:textId="77777777" w:rsidR="003531E6" w:rsidRDefault="003531E6" w:rsidP="003531E6">
      <w:r>
        <w:t xml:space="preserve">In a next step, the two beams, representing four ports, with the highest metric are selected to be used in the subsequent UL transmissions. These four beams are sounded in uplink so that the gNB can decide the number of ports, and which precoder(s), to be used for UL transmission. </w:t>
      </w:r>
    </w:p>
    <w:p w14:paraId="3930904E" w14:textId="66272832" w:rsidR="003531E6" w:rsidRPr="0035390C" w:rsidRDefault="003531E6" w:rsidP="0035390C">
      <w:r>
        <w:t>For each of the evaluated transmission cases all possible combinations of precoders are evaluated and the PMI(s) offering the best performance is selected. The receiver at the gNB is an MMSE receiver and the SINR has been mapped via the Shannon equation to give the spectral efficiency.</w:t>
      </w:r>
      <w:r w:rsidRPr="00B00B27">
        <w:t xml:space="preserve"> </w:t>
      </w:r>
      <w:r>
        <w:t xml:space="preserve"> The performance metric is a</w:t>
      </w:r>
      <w:r w:rsidR="00241C81">
        <w:t xml:space="preserve">verage spectral efficiency </w:t>
      </w:r>
      <w:r>
        <w:t>over the entire bandwidth (48 PRBs).</w:t>
      </w:r>
    </w:p>
    <w:sectPr w:rsidR="003531E6" w:rsidRPr="0035390C"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9EC6D" w14:textId="77777777" w:rsidR="00142423" w:rsidRDefault="00142423">
      <w:r>
        <w:separator/>
      </w:r>
    </w:p>
  </w:endnote>
  <w:endnote w:type="continuationSeparator" w:id="0">
    <w:p w14:paraId="3BBFD00D" w14:textId="77777777" w:rsidR="00142423" w:rsidRDefault="0014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292C1" w14:textId="77777777" w:rsidR="00F724ED" w:rsidRDefault="00F72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C24C8" w14:textId="48A2502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24E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24ED">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EFC6A" w14:textId="77777777" w:rsidR="00F724ED" w:rsidRDefault="00F72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8D02F" w14:textId="77777777" w:rsidR="00142423" w:rsidRDefault="00142423">
      <w:r>
        <w:separator/>
      </w:r>
    </w:p>
  </w:footnote>
  <w:footnote w:type="continuationSeparator" w:id="0">
    <w:p w14:paraId="0BC9A008" w14:textId="77777777" w:rsidR="00142423" w:rsidRDefault="0014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EF03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FEC38" w14:textId="77777777" w:rsidR="00F724ED" w:rsidRDefault="00F72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F203C" w14:textId="77777777" w:rsidR="00F724ED" w:rsidRDefault="00F72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1ACC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EA5B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706142"/>
    <w:lvl w:ilvl="0">
      <w:start w:val="1"/>
      <w:numFmt w:val="decimal"/>
      <w:lvlText w:val="%1."/>
      <w:lvlJc w:val="left"/>
      <w:pPr>
        <w:tabs>
          <w:tab w:val="num" w:pos="926"/>
        </w:tabs>
        <w:ind w:left="926" w:hanging="360"/>
      </w:pPr>
    </w:lvl>
  </w:abstractNum>
  <w:abstractNum w:abstractNumId="3"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7237D7"/>
    <w:multiLevelType w:val="hybridMultilevel"/>
    <w:tmpl w:val="C6C89696"/>
    <w:lvl w:ilvl="0" w:tplc="5D8427D0">
      <w:start w:val="1"/>
      <w:numFmt w:val="bullet"/>
      <w:lvlText w:val="–"/>
      <w:lvlJc w:val="left"/>
      <w:pPr>
        <w:tabs>
          <w:tab w:val="num" w:pos="720"/>
        </w:tabs>
        <w:ind w:left="720" w:hanging="360"/>
      </w:pPr>
      <w:rPr>
        <w:rFonts w:ascii="Ericsson Capital TT" w:hAnsi="Ericsson Capital TT" w:hint="default"/>
      </w:rPr>
    </w:lvl>
    <w:lvl w:ilvl="1" w:tplc="E1AE9606">
      <w:start w:val="1"/>
      <w:numFmt w:val="bullet"/>
      <w:lvlText w:val="–"/>
      <w:lvlJc w:val="left"/>
      <w:pPr>
        <w:tabs>
          <w:tab w:val="num" w:pos="1440"/>
        </w:tabs>
        <w:ind w:left="1440" w:hanging="360"/>
      </w:pPr>
      <w:rPr>
        <w:rFonts w:ascii="Ericsson Capital TT" w:hAnsi="Ericsson Capital TT" w:hint="default"/>
      </w:rPr>
    </w:lvl>
    <w:lvl w:ilvl="2" w:tplc="DB669B3E">
      <w:numFmt w:val="bullet"/>
      <w:lvlText w:val="›"/>
      <w:lvlJc w:val="left"/>
      <w:pPr>
        <w:tabs>
          <w:tab w:val="num" w:pos="2160"/>
        </w:tabs>
        <w:ind w:left="2160" w:hanging="360"/>
      </w:pPr>
      <w:rPr>
        <w:rFonts w:ascii="Ericsson Capital TT" w:hAnsi="Ericsson Capital TT" w:hint="default"/>
      </w:rPr>
    </w:lvl>
    <w:lvl w:ilvl="3" w:tplc="0A8C05DC">
      <w:start w:val="1"/>
      <w:numFmt w:val="bullet"/>
      <w:lvlText w:val="–"/>
      <w:lvlJc w:val="left"/>
      <w:pPr>
        <w:tabs>
          <w:tab w:val="num" w:pos="2880"/>
        </w:tabs>
        <w:ind w:left="2880" w:hanging="360"/>
      </w:pPr>
      <w:rPr>
        <w:rFonts w:ascii="Ericsson Capital TT" w:hAnsi="Ericsson Capital TT" w:hint="default"/>
      </w:rPr>
    </w:lvl>
    <w:lvl w:ilvl="4" w:tplc="4C98C9E8">
      <w:start w:val="1"/>
      <w:numFmt w:val="bullet"/>
      <w:lvlText w:val="–"/>
      <w:lvlJc w:val="left"/>
      <w:pPr>
        <w:tabs>
          <w:tab w:val="num" w:pos="3600"/>
        </w:tabs>
        <w:ind w:left="3600" w:hanging="360"/>
      </w:pPr>
      <w:rPr>
        <w:rFonts w:ascii="Ericsson Capital TT" w:hAnsi="Ericsson Capital TT" w:hint="default"/>
      </w:rPr>
    </w:lvl>
    <w:lvl w:ilvl="5" w:tplc="418AB126">
      <w:start w:val="1"/>
      <w:numFmt w:val="bullet"/>
      <w:lvlText w:val="–"/>
      <w:lvlJc w:val="left"/>
      <w:pPr>
        <w:tabs>
          <w:tab w:val="num" w:pos="4320"/>
        </w:tabs>
        <w:ind w:left="4320" w:hanging="360"/>
      </w:pPr>
      <w:rPr>
        <w:rFonts w:ascii="Ericsson Capital TT" w:hAnsi="Ericsson Capital TT" w:hint="default"/>
      </w:rPr>
    </w:lvl>
    <w:lvl w:ilvl="6" w:tplc="7C60DCA6">
      <w:start w:val="1"/>
      <w:numFmt w:val="bullet"/>
      <w:lvlText w:val="–"/>
      <w:lvlJc w:val="left"/>
      <w:pPr>
        <w:tabs>
          <w:tab w:val="num" w:pos="5040"/>
        </w:tabs>
        <w:ind w:left="5040" w:hanging="360"/>
      </w:pPr>
      <w:rPr>
        <w:rFonts w:ascii="Ericsson Capital TT" w:hAnsi="Ericsson Capital TT" w:hint="default"/>
      </w:rPr>
    </w:lvl>
    <w:lvl w:ilvl="7" w:tplc="8ED04546">
      <w:start w:val="1"/>
      <w:numFmt w:val="bullet"/>
      <w:lvlText w:val="–"/>
      <w:lvlJc w:val="left"/>
      <w:pPr>
        <w:tabs>
          <w:tab w:val="num" w:pos="5760"/>
        </w:tabs>
        <w:ind w:left="5760" w:hanging="360"/>
      </w:pPr>
      <w:rPr>
        <w:rFonts w:ascii="Ericsson Capital TT" w:hAnsi="Ericsson Capital TT" w:hint="default"/>
      </w:rPr>
    </w:lvl>
    <w:lvl w:ilvl="8" w:tplc="09F099B8">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0D6071A"/>
    <w:multiLevelType w:val="multilevel"/>
    <w:tmpl w:val="1E9C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10FF5"/>
    <w:multiLevelType w:val="hybridMultilevel"/>
    <w:tmpl w:val="F264A700"/>
    <w:lvl w:ilvl="0" w:tplc="F2C4E2D6">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10" w15:restartNumberingAfterBreak="0">
    <w:nsid w:val="12127896"/>
    <w:multiLevelType w:val="hybridMultilevel"/>
    <w:tmpl w:val="CC069F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3A610A"/>
    <w:multiLevelType w:val="multilevel"/>
    <w:tmpl w:val="2B8C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4"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FE6EB9"/>
    <w:multiLevelType w:val="multilevel"/>
    <w:tmpl w:val="DED4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6"/>
  </w:num>
  <w:num w:numId="3">
    <w:abstractNumId w:val="21"/>
  </w:num>
  <w:num w:numId="4">
    <w:abstractNumId w:val="22"/>
  </w:num>
  <w:num w:numId="5">
    <w:abstractNumId w:val="18"/>
  </w:num>
  <w:num w:numId="6">
    <w:abstractNumId w:val="24"/>
  </w:num>
  <w:num w:numId="7">
    <w:abstractNumId w:val="30"/>
  </w:num>
  <w:num w:numId="8">
    <w:abstractNumId w:val="19"/>
  </w:num>
  <w:num w:numId="9">
    <w:abstractNumId w:val="15"/>
  </w:num>
  <w:num w:numId="10">
    <w:abstractNumId w:val="2"/>
  </w:num>
  <w:num w:numId="11">
    <w:abstractNumId w:val="1"/>
  </w:num>
  <w:num w:numId="12">
    <w:abstractNumId w:val="0"/>
  </w:num>
  <w:num w:numId="13">
    <w:abstractNumId w:val="28"/>
  </w:num>
  <w:num w:numId="14">
    <w:abstractNumId w:val="20"/>
  </w:num>
  <w:num w:numId="15">
    <w:abstractNumId w:val="14"/>
  </w:num>
  <w:num w:numId="16">
    <w:abstractNumId w:val="32"/>
  </w:num>
  <w:num w:numId="17">
    <w:abstractNumId w:val="12"/>
  </w:num>
  <w:num w:numId="18">
    <w:abstractNumId w:val="8"/>
  </w:num>
  <w:num w:numId="19">
    <w:abstractNumId w:val="31"/>
  </w:num>
  <w:num w:numId="20">
    <w:abstractNumId w:val="11"/>
  </w:num>
  <w:num w:numId="21">
    <w:abstractNumId w:val="6"/>
  </w:num>
  <w:num w:numId="22">
    <w:abstractNumId w:val="33"/>
  </w:num>
  <w:num w:numId="23">
    <w:abstractNumId w:val="17"/>
  </w:num>
  <w:num w:numId="24">
    <w:abstractNumId w:val="23"/>
  </w:num>
  <w:num w:numId="25">
    <w:abstractNumId w:val="36"/>
  </w:num>
  <w:num w:numId="26">
    <w:abstractNumId w:val="5"/>
  </w:num>
  <w:num w:numId="27">
    <w:abstractNumId w:val="9"/>
  </w:num>
  <w:num w:numId="28">
    <w:abstractNumId w:val="34"/>
  </w:num>
  <w:num w:numId="29">
    <w:abstractNumId w:val="13"/>
  </w:num>
  <w:num w:numId="30">
    <w:abstractNumId w:val="27"/>
  </w:num>
  <w:num w:numId="31">
    <w:abstractNumId w:val="9"/>
  </w:num>
  <w:num w:numId="32">
    <w:abstractNumId w:val="10"/>
  </w:num>
  <w:num w:numId="33">
    <w:abstractNumId w:val="16"/>
  </w:num>
  <w:num w:numId="34">
    <w:abstractNumId w:val="7"/>
  </w:num>
  <w:num w:numId="35">
    <w:abstractNumId w:val="35"/>
  </w:num>
  <w:num w:numId="36">
    <w:abstractNumId w:val="21"/>
    <w:lvlOverride w:ilvl="0">
      <w:startOverride w:val="1"/>
    </w:lvlOverride>
  </w:num>
  <w:num w:numId="37">
    <w:abstractNumId w:val="3"/>
  </w:num>
  <w:num w:numId="38">
    <w:abstractNumId w:val="25"/>
  </w:num>
  <w:num w:numId="39">
    <w:abstractNumId w:val="28"/>
  </w:num>
  <w:num w:numId="40">
    <w:abstractNumId w:val="21"/>
  </w:num>
  <w:num w:numId="41">
    <w:abstractNumId w:val="21"/>
  </w:num>
  <w:num w:numId="42">
    <w:abstractNumId w:val="4"/>
  </w:num>
  <w:num w:numId="43">
    <w:abstractNumId w:val="29"/>
  </w:num>
  <w:num w:numId="44">
    <w:abstractNumId w:val="29"/>
  </w:num>
  <w:num w:numId="45">
    <w:abstractNumId w:val="29"/>
  </w:num>
  <w:num w:numId="4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B61"/>
    <w:rsid w:val="00021E8E"/>
    <w:rsid w:val="0002564D"/>
    <w:rsid w:val="00025ECA"/>
    <w:rsid w:val="00030B30"/>
    <w:rsid w:val="000325B8"/>
    <w:rsid w:val="00034C15"/>
    <w:rsid w:val="00036BA1"/>
    <w:rsid w:val="00042009"/>
    <w:rsid w:val="000422E2"/>
    <w:rsid w:val="00042F22"/>
    <w:rsid w:val="000444EF"/>
    <w:rsid w:val="00045FE0"/>
    <w:rsid w:val="00052A07"/>
    <w:rsid w:val="000534E3"/>
    <w:rsid w:val="0005606A"/>
    <w:rsid w:val="00057117"/>
    <w:rsid w:val="000616E7"/>
    <w:rsid w:val="0006487E"/>
    <w:rsid w:val="00065E1A"/>
    <w:rsid w:val="00072EBA"/>
    <w:rsid w:val="00075FA0"/>
    <w:rsid w:val="00077E5F"/>
    <w:rsid w:val="0008036A"/>
    <w:rsid w:val="0008103C"/>
    <w:rsid w:val="00081AE6"/>
    <w:rsid w:val="00084BD4"/>
    <w:rsid w:val="000855EB"/>
    <w:rsid w:val="000858F1"/>
    <w:rsid w:val="00085B52"/>
    <w:rsid w:val="000866F2"/>
    <w:rsid w:val="0009009F"/>
    <w:rsid w:val="00091557"/>
    <w:rsid w:val="000924C1"/>
    <w:rsid w:val="000924F0"/>
    <w:rsid w:val="00093474"/>
    <w:rsid w:val="00094210"/>
    <w:rsid w:val="0009510F"/>
    <w:rsid w:val="000A1B7B"/>
    <w:rsid w:val="000A4363"/>
    <w:rsid w:val="000A56F2"/>
    <w:rsid w:val="000B2719"/>
    <w:rsid w:val="000B3A8F"/>
    <w:rsid w:val="000B4AB9"/>
    <w:rsid w:val="000B58C3"/>
    <w:rsid w:val="000B61E9"/>
    <w:rsid w:val="000C165A"/>
    <w:rsid w:val="000C2E19"/>
    <w:rsid w:val="000D0D07"/>
    <w:rsid w:val="000D3E39"/>
    <w:rsid w:val="000D4797"/>
    <w:rsid w:val="000D6C2E"/>
    <w:rsid w:val="000E0527"/>
    <w:rsid w:val="000E1E92"/>
    <w:rsid w:val="000E30A4"/>
    <w:rsid w:val="000E5A1F"/>
    <w:rsid w:val="000E5EA9"/>
    <w:rsid w:val="000F06D6"/>
    <w:rsid w:val="000F0EB1"/>
    <w:rsid w:val="000F1106"/>
    <w:rsid w:val="000F3BE9"/>
    <w:rsid w:val="000F3F6C"/>
    <w:rsid w:val="000F5978"/>
    <w:rsid w:val="000F63AA"/>
    <w:rsid w:val="000F66D0"/>
    <w:rsid w:val="000F671E"/>
    <w:rsid w:val="000F69F0"/>
    <w:rsid w:val="000F6DF3"/>
    <w:rsid w:val="001005FF"/>
    <w:rsid w:val="001062FB"/>
    <w:rsid w:val="001063E6"/>
    <w:rsid w:val="00113CF4"/>
    <w:rsid w:val="0011471C"/>
    <w:rsid w:val="001153EA"/>
    <w:rsid w:val="00115643"/>
    <w:rsid w:val="00116765"/>
    <w:rsid w:val="001208A4"/>
    <w:rsid w:val="001219F5"/>
    <w:rsid w:val="00121A20"/>
    <w:rsid w:val="0012377F"/>
    <w:rsid w:val="00124314"/>
    <w:rsid w:val="00126B4A"/>
    <w:rsid w:val="00132FD0"/>
    <w:rsid w:val="001344C0"/>
    <w:rsid w:val="001346FA"/>
    <w:rsid w:val="00135252"/>
    <w:rsid w:val="00137AB5"/>
    <w:rsid w:val="00137F0B"/>
    <w:rsid w:val="00142423"/>
    <w:rsid w:val="00151E23"/>
    <w:rsid w:val="001526E0"/>
    <w:rsid w:val="0015373E"/>
    <w:rsid w:val="00154397"/>
    <w:rsid w:val="001551B5"/>
    <w:rsid w:val="001571E7"/>
    <w:rsid w:val="00164BA1"/>
    <w:rsid w:val="001659C1"/>
    <w:rsid w:val="00166D78"/>
    <w:rsid w:val="0017045E"/>
    <w:rsid w:val="00173A8E"/>
    <w:rsid w:val="00180E86"/>
    <w:rsid w:val="0018143F"/>
    <w:rsid w:val="00190AC1"/>
    <w:rsid w:val="0019341A"/>
    <w:rsid w:val="00197DF9"/>
    <w:rsid w:val="00197E07"/>
    <w:rsid w:val="001A0A6B"/>
    <w:rsid w:val="001A1987"/>
    <w:rsid w:val="001A2564"/>
    <w:rsid w:val="001A6173"/>
    <w:rsid w:val="001A6CBA"/>
    <w:rsid w:val="001B0D97"/>
    <w:rsid w:val="001B5A5D"/>
    <w:rsid w:val="001C1CE5"/>
    <w:rsid w:val="001C3D2A"/>
    <w:rsid w:val="001D51BA"/>
    <w:rsid w:val="001D61B5"/>
    <w:rsid w:val="001D6342"/>
    <w:rsid w:val="001D6D53"/>
    <w:rsid w:val="001E2560"/>
    <w:rsid w:val="001E58E2"/>
    <w:rsid w:val="001E6DA0"/>
    <w:rsid w:val="001E7AED"/>
    <w:rsid w:val="001F3916"/>
    <w:rsid w:val="001F54C5"/>
    <w:rsid w:val="001F655B"/>
    <w:rsid w:val="001F662C"/>
    <w:rsid w:val="001F7074"/>
    <w:rsid w:val="00200490"/>
    <w:rsid w:val="00201F3A"/>
    <w:rsid w:val="00203F96"/>
    <w:rsid w:val="002069B2"/>
    <w:rsid w:val="00207FA3"/>
    <w:rsid w:val="00214DA8"/>
    <w:rsid w:val="00215423"/>
    <w:rsid w:val="002158FA"/>
    <w:rsid w:val="002177BF"/>
    <w:rsid w:val="00220600"/>
    <w:rsid w:val="00220DD8"/>
    <w:rsid w:val="002224DB"/>
    <w:rsid w:val="00223FCB"/>
    <w:rsid w:val="002252C3"/>
    <w:rsid w:val="00225C54"/>
    <w:rsid w:val="00230765"/>
    <w:rsid w:val="002319E4"/>
    <w:rsid w:val="0023453F"/>
    <w:rsid w:val="00235632"/>
    <w:rsid w:val="00235872"/>
    <w:rsid w:val="00241559"/>
    <w:rsid w:val="00241C81"/>
    <w:rsid w:val="00242A2E"/>
    <w:rsid w:val="002435B3"/>
    <w:rsid w:val="002451ED"/>
    <w:rsid w:val="002458EB"/>
    <w:rsid w:val="002500C8"/>
    <w:rsid w:val="00257543"/>
    <w:rsid w:val="002617E7"/>
    <w:rsid w:val="00262E4F"/>
    <w:rsid w:val="00264228"/>
    <w:rsid w:val="00264334"/>
    <w:rsid w:val="0026473E"/>
    <w:rsid w:val="00266214"/>
    <w:rsid w:val="00267C83"/>
    <w:rsid w:val="0027144F"/>
    <w:rsid w:val="00271813"/>
    <w:rsid w:val="00271F3A"/>
    <w:rsid w:val="00273278"/>
    <w:rsid w:val="002737F4"/>
    <w:rsid w:val="002805F5"/>
    <w:rsid w:val="00280751"/>
    <w:rsid w:val="0028280A"/>
    <w:rsid w:val="00285756"/>
    <w:rsid w:val="00286ACD"/>
    <w:rsid w:val="00287838"/>
    <w:rsid w:val="002907B5"/>
    <w:rsid w:val="00290DF1"/>
    <w:rsid w:val="00292EB7"/>
    <w:rsid w:val="00296227"/>
    <w:rsid w:val="00296F44"/>
    <w:rsid w:val="0029777D"/>
    <w:rsid w:val="002A055E"/>
    <w:rsid w:val="002A1D4E"/>
    <w:rsid w:val="002A2869"/>
    <w:rsid w:val="002A5CFA"/>
    <w:rsid w:val="002A6A23"/>
    <w:rsid w:val="002B24D6"/>
    <w:rsid w:val="002B5AE5"/>
    <w:rsid w:val="002C41E6"/>
    <w:rsid w:val="002D071A"/>
    <w:rsid w:val="002D34B2"/>
    <w:rsid w:val="002D609D"/>
    <w:rsid w:val="002D7637"/>
    <w:rsid w:val="002E17F2"/>
    <w:rsid w:val="002E6966"/>
    <w:rsid w:val="002E7CAE"/>
    <w:rsid w:val="002F2771"/>
    <w:rsid w:val="002F37A9"/>
    <w:rsid w:val="002F6288"/>
    <w:rsid w:val="002F6C45"/>
    <w:rsid w:val="002F7412"/>
    <w:rsid w:val="00301CE6"/>
    <w:rsid w:val="0030221B"/>
    <w:rsid w:val="0030256B"/>
    <w:rsid w:val="003029E7"/>
    <w:rsid w:val="0030501F"/>
    <w:rsid w:val="00307BA1"/>
    <w:rsid w:val="00307C6D"/>
    <w:rsid w:val="00311702"/>
    <w:rsid w:val="00311E82"/>
    <w:rsid w:val="003127C9"/>
    <w:rsid w:val="00313FD6"/>
    <w:rsid w:val="003143BD"/>
    <w:rsid w:val="00314562"/>
    <w:rsid w:val="00317C53"/>
    <w:rsid w:val="003203ED"/>
    <w:rsid w:val="00320A6C"/>
    <w:rsid w:val="00320FBD"/>
    <w:rsid w:val="00322C9F"/>
    <w:rsid w:val="00324D23"/>
    <w:rsid w:val="00327997"/>
    <w:rsid w:val="00331751"/>
    <w:rsid w:val="00331B7B"/>
    <w:rsid w:val="00334579"/>
    <w:rsid w:val="00335858"/>
    <w:rsid w:val="00336BDA"/>
    <w:rsid w:val="00342A5A"/>
    <w:rsid w:val="00342BD7"/>
    <w:rsid w:val="00343DC1"/>
    <w:rsid w:val="00346DB5"/>
    <w:rsid w:val="003477B1"/>
    <w:rsid w:val="003531E6"/>
    <w:rsid w:val="0035390C"/>
    <w:rsid w:val="00357380"/>
    <w:rsid w:val="003602D9"/>
    <w:rsid w:val="003604CE"/>
    <w:rsid w:val="00360E86"/>
    <w:rsid w:val="0036794B"/>
    <w:rsid w:val="00370E47"/>
    <w:rsid w:val="00371081"/>
    <w:rsid w:val="003742AC"/>
    <w:rsid w:val="00374ADB"/>
    <w:rsid w:val="00377CE1"/>
    <w:rsid w:val="00380FED"/>
    <w:rsid w:val="00385BF0"/>
    <w:rsid w:val="003939FF"/>
    <w:rsid w:val="003A0E41"/>
    <w:rsid w:val="003A2223"/>
    <w:rsid w:val="003A2A0F"/>
    <w:rsid w:val="003A45A1"/>
    <w:rsid w:val="003A5B0A"/>
    <w:rsid w:val="003A6073"/>
    <w:rsid w:val="003A6BAC"/>
    <w:rsid w:val="003A7EF3"/>
    <w:rsid w:val="003B03C2"/>
    <w:rsid w:val="003B159C"/>
    <w:rsid w:val="003B369F"/>
    <w:rsid w:val="003B36A3"/>
    <w:rsid w:val="003B546B"/>
    <w:rsid w:val="003B7F45"/>
    <w:rsid w:val="003B7FE5"/>
    <w:rsid w:val="003C11C8"/>
    <w:rsid w:val="003C2702"/>
    <w:rsid w:val="003C2F38"/>
    <w:rsid w:val="003C37A5"/>
    <w:rsid w:val="003C62AF"/>
    <w:rsid w:val="003C7806"/>
    <w:rsid w:val="003C7F06"/>
    <w:rsid w:val="003D109F"/>
    <w:rsid w:val="003D2478"/>
    <w:rsid w:val="003D3C45"/>
    <w:rsid w:val="003D5B1F"/>
    <w:rsid w:val="003E15FA"/>
    <w:rsid w:val="003E4112"/>
    <w:rsid w:val="003E55E4"/>
    <w:rsid w:val="003E74E3"/>
    <w:rsid w:val="003F05C7"/>
    <w:rsid w:val="003F2CD4"/>
    <w:rsid w:val="003F2E2D"/>
    <w:rsid w:val="003F534A"/>
    <w:rsid w:val="003F6BBE"/>
    <w:rsid w:val="004000E8"/>
    <w:rsid w:val="0040018B"/>
    <w:rsid w:val="00401DEB"/>
    <w:rsid w:val="00402E2B"/>
    <w:rsid w:val="004033B5"/>
    <w:rsid w:val="004050EA"/>
    <w:rsid w:val="0040512B"/>
    <w:rsid w:val="00405341"/>
    <w:rsid w:val="00405CA5"/>
    <w:rsid w:val="00407CD3"/>
    <w:rsid w:val="00410134"/>
    <w:rsid w:val="00410B72"/>
    <w:rsid w:val="00410F18"/>
    <w:rsid w:val="0041263E"/>
    <w:rsid w:val="004137B5"/>
    <w:rsid w:val="00413AAC"/>
    <w:rsid w:val="00413E92"/>
    <w:rsid w:val="00421105"/>
    <w:rsid w:val="004242F4"/>
    <w:rsid w:val="004258A6"/>
    <w:rsid w:val="00427248"/>
    <w:rsid w:val="00431776"/>
    <w:rsid w:val="00437447"/>
    <w:rsid w:val="00441782"/>
    <w:rsid w:val="00441A92"/>
    <w:rsid w:val="00441F63"/>
    <w:rsid w:val="00444F56"/>
    <w:rsid w:val="00445375"/>
    <w:rsid w:val="00446488"/>
    <w:rsid w:val="00447B75"/>
    <w:rsid w:val="004517AA"/>
    <w:rsid w:val="00452CAC"/>
    <w:rsid w:val="00457565"/>
    <w:rsid w:val="00457B71"/>
    <w:rsid w:val="00463774"/>
    <w:rsid w:val="004669E2"/>
    <w:rsid w:val="00470C31"/>
    <w:rsid w:val="004734D0"/>
    <w:rsid w:val="0047556B"/>
    <w:rsid w:val="00477768"/>
    <w:rsid w:val="00480D13"/>
    <w:rsid w:val="00484051"/>
    <w:rsid w:val="00492BC5"/>
    <w:rsid w:val="004964F1"/>
    <w:rsid w:val="004A16BC"/>
    <w:rsid w:val="004A2B94"/>
    <w:rsid w:val="004A40D2"/>
    <w:rsid w:val="004B7C0C"/>
    <w:rsid w:val="004C1CDA"/>
    <w:rsid w:val="004C3898"/>
    <w:rsid w:val="004D187E"/>
    <w:rsid w:val="004D36B1"/>
    <w:rsid w:val="004D4E98"/>
    <w:rsid w:val="004D7EBD"/>
    <w:rsid w:val="004E1F19"/>
    <w:rsid w:val="004E2680"/>
    <w:rsid w:val="004E28F9"/>
    <w:rsid w:val="004E462E"/>
    <w:rsid w:val="004E56DC"/>
    <w:rsid w:val="004E5822"/>
    <w:rsid w:val="004E76F4"/>
    <w:rsid w:val="004F0B4E"/>
    <w:rsid w:val="004F0B6C"/>
    <w:rsid w:val="004F2078"/>
    <w:rsid w:val="004F4DA3"/>
    <w:rsid w:val="004F70D4"/>
    <w:rsid w:val="00506557"/>
    <w:rsid w:val="0050677A"/>
    <w:rsid w:val="005108D8"/>
    <w:rsid w:val="005116F9"/>
    <w:rsid w:val="0051473C"/>
    <w:rsid w:val="005153A7"/>
    <w:rsid w:val="005159B0"/>
    <w:rsid w:val="005219CF"/>
    <w:rsid w:val="005243FC"/>
    <w:rsid w:val="005255D9"/>
    <w:rsid w:val="0052588B"/>
    <w:rsid w:val="005309D9"/>
    <w:rsid w:val="00534B59"/>
    <w:rsid w:val="00536759"/>
    <w:rsid w:val="00537C62"/>
    <w:rsid w:val="00541E58"/>
    <w:rsid w:val="005420F7"/>
    <w:rsid w:val="00546970"/>
    <w:rsid w:val="00547412"/>
    <w:rsid w:val="00554192"/>
    <w:rsid w:val="00554E19"/>
    <w:rsid w:val="0056121F"/>
    <w:rsid w:val="00566E15"/>
    <w:rsid w:val="00571466"/>
    <w:rsid w:val="00572505"/>
    <w:rsid w:val="00575DA6"/>
    <w:rsid w:val="005764D6"/>
    <w:rsid w:val="00582809"/>
    <w:rsid w:val="0058798C"/>
    <w:rsid w:val="005900FA"/>
    <w:rsid w:val="005935A4"/>
    <w:rsid w:val="005948C2"/>
    <w:rsid w:val="005954D5"/>
    <w:rsid w:val="00595DCA"/>
    <w:rsid w:val="0059779B"/>
    <w:rsid w:val="005A209A"/>
    <w:rsid w:val="005A662D"/>
    <w:rsid w:val="005B01A0"/>
    <w:rsid w:val="005B35D7"/>
    <w:rsid w:val="005B392A"/>
    <w:rsid w:val="005B3AA3"/>
    <w:rsid w:val="005B6F83"/>
    <w:rsid w:val="005C0713"/>
    <w:rsid w:val="005C38EE"/>
    <w:rsid w:val="005C74FB"/>
    <w:rsid w:val="005C7D3F"/>
    <w:rsid w:val="005D1602"/>
    <w:rsid w:val="005E385F"/>
    <w:rsid w:val="005E48F1"/>
    <w:rsid w:val="005E5959"/>
    <w:rsid w:val="005E5B81"/>
    <w:rsid w:val="005F2CB1"/>
    <w:rsid w:val="005F3025"/>
    <w:rsid w:val="005F31E2"/>
    <w:rsid w:val="005F618C"/>
    <w:rsid w:val="005F70BD"/>
    <w:rsid w:val="0060283C"/>
    <w:rsid w:val="00604F14"/>
    <w:rsid w:val="006106DB"/>
    <w:rsid w:val="00611B83"/>
    <w:rsid w:val="00613257"/>
    <w:rsid w:val="00620A71"/>
    <w:rsid w:val="00620D80"/>
    <w:rsid w:val="00621A79"/>
    <w:rsid w:val="006234A6"/>
    <w:rsid w:val="00630001"/>
    <w:rsid w:val="006311B3"/>
    <w:rsid w:val="0063284C"/>
    <w:rsid w:val="00636398"/>
    <w:rsid w:val="006368D3"/>
    <w:rsid w:val="006377EC"/>
    <w:rsid w:val="0064151F"/>
    <w:rsid w:val="00641533"/>
    <w:rsid w:val="0064208D"/>
    <w:rsid w:val="00643475"/>
    <w:rsid w:val="0064396A"/>
    <w:rsid w:val="00643AC8"/>
    <w:rsid w:val="0064624E"/>
    <w:rsid w:val="00650AB9"/>
    <w:rsid w:val="00655733"/>
    <w:rsid w:val="00655ACD"/>
    <w:rsid w:val="00656A92"/>
    <w:rsid w:val="00656DDE"/>
    <w:rsid w:val="00657A45"/>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1A4B"/>
    <w:rsid w:val="006B2099"/>
    <w:rsid w:val="006B50CF"/>
    <w:rsid w:val="006C03B8"/>
    <w:rsid w:val="006C2569"/>
    <w:rsid w:val="006C5EC9"/>
    <w:rsid w:val="006C6059"/>
    <w:rsid w:val="006C7522"/>
    <w:rsid w:val="006D1716"/>
    <w:rsid w:val="006D4DB0"/>
    <w:rsid w:val="006D6F08"/>
    <w:rsid w:val="006D71A4"/>
    <w:rsid w:val="006E062C"/>
    <w:rsid w:val="006E1514"/>
    <w:rsid w:val="006E27FE"/>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EEF"/>
    <w:rsid w:val="00712287"/>
    <w:rsid w:val="00712772"/>
    <w:rsid w:val="007148D3"/>
    <w:rsid w:val="00715B9A"/>
    <w:rsid w:val="007226F3"/>
    <w:rsid w:val="00726EA6"/>
    <w:rsid w:val="00727208"/>
    <w:rsid w:val="00727680"/>
    <w:rsid w:val="007348B1"/>
    <w:rsid w:val="007362A6"/>
    <w:rsid w:val="00736D7D"/>
    <w:rsid w:val="00740E58"/>
    <w:rsid w:val="007445A0"/>
    <w:rsid w:val="0074524B"/>
    <w:rsid w:val="0074524F"/>
    <w:rsid w:val="00747D8B"/>
    <w:rsid w:val="00751228"/>
    <w:rsid w:val="007565B2"/>
    <w:rsid w:val="007571E1"/>
    <w:rsid w:val="007604B2"/>
    <w:rsid w:val="0076109D"/>
    <w:rsid w:val="00765281"/>
    <w:rsid w:val="00766BAD"/>
    <w:rsid w:val="007755F2"/>
    <w:rsid w:val="00776971"/>
    <w:rsid w:val="00777D37"/>
    <w:rsid w:val="00780B9B"/>
    <w:rsid w:val="0078177E"/>
    <w:rsid w:val="00781F71"/>
    <w:rsid w:val="0078304C"/>
    <w:rsid w:val="00783673"/>
    <w:rsid w:val="00785490"/>
    <w:rsid w:val="00790B99"/>
    <w:rsid w:val="007925EA"/>
    <w:rsid w:val="00793CD8"/>
    <w:rsid w:val="00794690"/>
    <w:rsid w:val="007955B0"/>
    <w:rsid w:val="00795C92"/>
    <w:rsid w:val="00796231"/>
    <w:rsid w:val="007A197E"/>
    <w:rsid w:val="007A1CB3"/>
    <w:rsid w:val="007A306F"/>
    <w:rsid w:val="007A43A6"/>
    <w:rsid w:val="007A58A6"/>
    <w:rsid w:val="007B3D2D"/>
    <w:rsid w:val="007B50AE"/>
    <w:rsid w:val="007B51DF"/>
    <w:rsid w:val="007B7374"/>
    <w:rsid w:val="007C05DD"/>
    <w:rsid w:val="007C3CA6"/>
    <w:rsid w:val="007C3D18"/>
    <w:rsid w:val="007C4E1C"/>
    <w:rsid w:val="007C60BF"/>
    <w:rsid w:val="007C6A07"/>
    <w:rsid w:val="007C6FC6"/>
    <w:rsid w:val="007C75A1"/>
    <w:rsid w:val="007C77A5"/>
    <w:rsid w:val="007D04E5"/>
    <w:rsid w:val="007D5901"/>
    <w:rsid w:val="007D7526"/>
    <w:rsid w:val="007E0B55"/>
    <w:rsid w:val="007E4610"/>
    <w:rsid w:val="007E4715"/>
    <w:rsid w:val="007E505B"/>
    <w:rsid w:val="007E7091"/>
    <w:rsid w:val="007F39CA"/>
    <w:rsid w:val="007F695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CE6"/>
    <w:rsid w:val="00844E80"/>
    <w:rsid w:val="00846FE7"/>
    <w:rsid w:val="00847BFF"/>
    <w:rsid w:val="00856911"/>
    <w:rsid w:val="008606F7"/>
    <w:rsid w:val="008677FD"/>
    <w:rsid w:val="008706D4"/>
    <w:rsid w:val="00870F8A"/>
    <w:rsid w:val="008719A4"/>
    <w:rsid w:val="00871D23"/>
    <w:rsid w:val="00874312"/>
    <w:rsid w:val="0087437C"/>
    <w:rsid w:val="0087468C"/>
    <w:rsid w:val="00874BE6"/>
    <w:rsid w:val="00875297"/>
    <w:rsid w:val="00875CD7"/>
    <w:rsid w:val="00876B4D"/>
    <w:rsid w:val="00877F18"/>
    <w:rsid w:val="00894569"/>
    <w:rsid w:val="00894A88"/>
    <w:rsid w:val="00895079"/>
    <w:rsid w:val="00895386"/>
    <w:rsid w:val="008A1865"/>
    <w:rsid w:val="008A21FF"/>
    <w:rsid w:val="008A2CE2"/>
    <w:rsid w:val="008A30AC"/>
    <w:rsid w:val="008A44B8"/>
    <w:rsid w:val="008A51A8"/>
    <w:rsid w:val="008A54C7"/>
    <w:rsid w:val="008A77D8"/>
    <w:rsid w:val="008B0483"/>
    <w:rsid w:val="008B11C2"/>
    <w:rsid w:val="008B120C"/>
    <w:rsid w:val="008B51A0"/>
    <w:rsid w:val="008B592A"/>
    <w:rsid w:val="008B7B5C"/>
    <w:rsid w:val="008C0C99"/>
    <w:rsid w:val="008C2017"/>
    <w:rsid w:val="008C20A1"/>
    <w:rsid w:val="008C4958"/>
    <w:rsid w:val="008C4BAA"/>
    <w:rsid w:val="008C6AE8"/>
    <w:rsid w:val="008C7573"/>
    <w:rsid w:val="008D34F1"/>
    <w:rsid w:val="008D39D8"/>
    <w:rsid w:val="008D6C30"/>
    <w:rsid w:val="008D6D1A"/>
    <w:rsid w:val="008E065E"/>
    <w:rsid w:val="008E0927"/>
    <w:rsid w:val="008E1545"/>
    <w:rsid w:val="008E1909"/>
    <w:rsid w:val="008E698C"/>
    <w:rsid w:val="008E7806"/>
    <w:rsid w:val="008F1EAB"/>
    <w:rsid w:val="008F31A5"/>
    <w:rsid w:val="008F33DC"/>
    <w:rsid w:val="008F477F"/>
    <w:rsid w:val="00902119"/>
    <w:rsid w:val="00902350"/>
    <w:rsid w:val="0090336B"/>
    <w:rsid w:val="009053AA"/>
    <w:rsid w:val="00906939"/>
    <w:rsid w:val="00910B7D"/>
    <w:rsid w:val="00911DFB"/>
    <w:rsid w:val="009139D9"/>
    <w:rsid w:val="00914495"/>
    <w:rsid w:val="00914AD8"/>
    <w:rsid w:val="00916079"/>
    <w:rsid w:val="00916F05"/>
    <w:rsid w:val="00917CE9"/>
    <w:rsid w:val="00920BF2"/>
    <w:rsid w:val="00922010"/>
    <w:rsid w:val="00924261"/>
    <w:rsid w:val="00931BD9"/>
    <w:rsid w:val="00931FA5"/>
    <w:rsid w:val="0093258E"/>
    <w:rsid w:val="00935739"/>
    <w:rsid w:val="0093604D"/>
    <w:rsid w:val="009368F3"/>
    <w:rsid w:val="00941636"/>
    <w:rsid w:val="00943742"/>
    <w:rsid w:val="00945C05"/>
    <w:rsid w:val="00946945"/>
    <w:rsid w:val="00947713"/>
    <w:rsid w:val="00950DE7"/>
    <w:rsid w:val="00952A24"/>
    <w:rsid w:val="00953353"/>
    <w:rsid w:val="00953920"/>
    <w:rsid w:val="00953D47"/>
    <w:rsid w:val="0095681E"/>
    <w:rsid w:val="009572D4"/>
    <w:rsid w:val="00960BA2"/>
    <w:rsid w:val="00961921"/>
    <w:rsid w:val="0096430A"/>
    <w:rsid w:val="0096554B"/>
    <w:rsid w:val="0096584A"/>
    <w:rsid w:val="00971BB3"/>
    <w:rsid w:val="00971F08"/>
    <w:rsid w:val="0097520E"/>
    <w:rsid w:val="0097603D"/>
    <w:rsid w:val="00976949"/>
    <w:rsid w:val="00980477"/>
    <w:rsid w:val="00985253"/>
    <w:rsid w:val="009853B3"/>
    <w:rsid w:val="00985BFD"/>
    <w:rsid w:val="00987940"/>
    <w:rsid w:val="00990630"/>
    <w:rsid w:val="00991761"/>
    <w:rsid w:val="0099193F"/>
    <w:rsid w:val="00994DCA"/>
    <w:rsid w:val="009960EC"/>
    <w:rsid w:val="009970DD"/>
    <w:rsid w:val="00997CB2"/>
    <w:rsid w:val="009A0FBA"/>
    <w:rsid w:val="009A1601"/>
    <w:rsid w:val="009A18A7"/>
    <w:rsid w:val="009A462D"/>
    <w:rsid w:val="009A5CBA"/>
    <w:rsid w:val="009B1126"/>
    <w:rsid w:val="009B1F30"/>
    <w:rsid w:val="009B3AC2"/>
    <w:rsid w:val="009B4DF4"/>
    <w:rsid w:val="009B564E"/>
    <w:rsid w:val="009B7E87"/>
    <w:rsid w:val="009C403E"/>
    <w:rsid w:val="009C6832"/>
    <w:rsid w:val="009D2418"/>
    <w:rsid w:val="009D4FF0"/>
    <w:rsid w:val="009D703C"/>
    <w:rsid w:val="009D718F"/>
    <w:rsid w:val="009E068F"/>
    <w:rsid w:val="009E14E0"/>
    <w:rsid w:val="009E35DB"/>
    <w:rsid w:val="009E47A3"/>
    <w:rsid w:val="009E7845"/>
    <w:rsid w:val="009F08F3"/>
    <w:rsid w:val="009F344F"/>
    <w:rsid w:val="00A031D8"/>
    <w:rsid w:val="00A032A4"/>
    <w:rsid w:val="00A048A8"/>
    <w:rsid w:val="00A04F49"/>
    <w:rsid w:val="00A13E54"/>
    <w:rsid w:val="00A14243"/>
    <w:rsid w:val="00A15745"/>
    <w:rsid w:val="00A15A51"/>
    <w:rsid w:val="00A17F63"/>
    <w:rsid w:val="00A2169B"/>
    <w:rsid w:val="00A2193B"/>
    <w:rsid w:val="00A2351A"/>
    <w:rsid w:val="00A264A9"/>
    <w:rsid w:val="00A26F1A"/>
    <w:rsid w:val="00A27785"/>
    <w:rsid w:val="00A30187"/>
    <w:rsid w:val="00A3070A"/>
    <w:rsid w:val="00A3448A"/>
    <w:rsid w:val="00A36297"/>
    <w:rsid w:val="00A40362"/>
    <w:rsid w:val="00A40762"/>
    <w:rsid w:val="00A41E2B"/>
    <w:rsid w:val="00A45B74"/>
    <w:rsid w:val="00A52E1D"/>
    <w:rsid w:val="00A5436B"/>
    <w:rsid w:val="00A55F8F"/>
    <w:rsid w:val="00A61499"/>
    <w:rsid w:val="00A62A77"/>
    <w:rsid w:val="00A63483"/>
    <w:rsid w:val="00A657D7"/>
    <w:rsid w:val="00A660AC"/>
    <w:rsid w:val="00A67E6C"/>
    <w:rsid w:val="00A713FB"/>
    <w:rsid w:val="00A71B99"/>
    <w:rsid w:val="00A739D0"/>
    <w:rsid w:val="00A761D4"/>
    <w:rsid w:val="00A77EC4"/>
    <w:rsid w:val="00A85C6C"/>
    <w:rsid w:val="00A85EF6"/>
    <w:rsid w:val="00A92879"/>
    <w:rsid w:val="00A9442A"/>
    <w:rsid w:val="00AA016F"/>
    <w:rsid w:val="00AA0861"/>
    <w:rsid w:val="00AA1ED6"/>
    <w:rsid w:val="00AA51D6"/>
    <w:rsid w:val="00AB0BC8"/>
    <w:rsid w:val="00AB11CA"/>
    <w:rsid w:val="00AB14D9"/>
    <w:rsid w:val="00AB37AA"/>
    <w:rsid w:val="00AB48B8"/>
    <w:rsid w:val="00AB4AB8"/>
    <w:rsid w:val="00AB655E"/>
    <w:rsid w:val="00AC007F"/>
    <w:rsid w:val="00AC2ECD"/>
    <w:rsid w:val="00AC3119"/>
    <w:rsid w:val="00AC3365"/>
    <w:rsid w:val="00AC3DA5"/>
    <w:rsid w:val="00AC49FB"/>
    <w:rsid w:val="00AC5A10"/>
    <w:rsid w:val="00AD0AA3"/>
    <w:rsid w:val="00AD3F94"/>
    <w:rsid w:val="00AD457E"/>
    <w:rsid w:val="00AD4A5A"/>
    <w:rsid w:val="00AD4AE7"/>
    <w:rsid w:val="00AE0F99"/>
    <w:rsid w:val="00AE27AC"/>
    <w:rsid w:val="00AE2FEB"/>
    <w:rsid w:val="00AE40E0"/>
    <w:rsid w:val="00AE4DBA"/>
    <w:rsid w:val="00AE4F07"/>
    <w:rsid w:val="00AF1C5D"/>
    <w:rsid w:val="00AF42D7"/>
    <w:rsid w:val="00B0051C"/>
    <w:rsid w:val="00B006FE"/>
    <w:rsid w:val="00B007CB"/>
    <w:rsid w:val="00B00B27"/>
    <w:rsid w:val="00B02AA9"/>
    <w:rsid w:val="00B02FA3"/>
    <w:rsid w:val="00B03132"/>
    <w:rsid w:val="00B03374"/>
    <w:rsid w:val="00B03E44"/>
    <w:rsid w:val="00B042E6"/>
    <w:rsid w:val="00B05084"/>
    <w:rsid w:val="00B075DF"/>
    <w:rsid w:val="00B157F9"/>
    <w:rsid w:val="00B20256"/>
    <w:rsid w:val="00B20D09"/>
    <w:rsid w:val="00B2763F"/>
    <w:rsid w:val="00B27AAC"/>
    <w:rsid w:val="00B30929"/>
    <w:rsid w:val="00B372AA"/>
    <w:rsid w:val="00B40445"/>
    <w:rsid w:val="00B41888"/>
    <w:rsid w:val="00B45A52"/>
    <w:rsid w:val="00B46175"/>
    <w:rsid w:val="00B62B2A"/>
    <w:rsid w:val="00B6401E"/>
    <w:rsid w:val="00B664C7"/>
    <w:rsid w:val="00B739F6"/>
    <w:rsid w:val="00B75903"/>
    <w:rsid w:val="00B81A6C"/>
    <w:rsid w:val="00B82916"/>
    <w:rsid w:val="00B85DE5"/>
    <w:rsid w:val="00B8608B"/>
    <w:rsid w:val="00B90F73"/>
    <w:rsid w:val="00B93B59"/>
    <w:rsid w:val="00B9406A"/>
    <w:rsid w:val="00B963F4"/>
    <w:rsid w:val="00BA2280"/>
    <w:rsid w:val="00BA2A08"/>
    <w:rsid w:val="00BA56D2"/>
    <w:rsid w:val="00BA76E0"/>
    <w:rsid w:val="00BB0958"/>
    <w:rsid w:val="00BB2A25"/>
    <w:rsid w:val="00BB3661"/>
    <w:rsid w:val="00BB3E70"/>
    <w:rsid w:val="00BB42D1"/>
    <w:rsid w:val="00BB51E9"/>
    <w:rsid w:val="00BC0FDC"/>
    <w:rsid w:val="00BC1664"/>
    <w:rsid w:val="00BC1F96"/>
    <w:rsid w:val="00BC3053"/>
    <w:rsid w:val="00BC4D2E"/>
    <w:rsid w:val="00BD48AC"/>
    <w:rsid w:val="00BD5F1A"/>
    <w:rsid w:val="00BD671A"/>
    <w:rsid w:val="00BD74C2"/>
    <w:rsid w:val="00BD7C86"/>
    <w:rsid w:val="00BE1234"/>
    <w:rsid w:val="00BE2FA6"/>
    <w:rsid w:val="00BE333F"/>
    <w:rsid w:val="00BE7406"/>
    <w:rsid w:val="00BE7603"/>
    <w:rsid w:val="00BF3279"/>
    <w:rsid w:val="00BF74C7"/>
    <w:rsid w:val="00BF7642"/>
    <w:rsid w:val="00C015F1"/>
    <w:rsid w:val="00C01DBB"/>
    <w:rsid w:val="00C01F33"/>
    <w:rsid w:val="00C02A4C"/>
    <w:rsid w:val="00C02CC6"/>
    <w:rsid w:val="00C02EAE"/>
    <w:rsid w:val="00C040F7"/>
    <w:rsid w:val="00C044AB"/>
    <w:rsid w:val="00C05706"/>
    <w:rsid w:val="00C05EEF"/>
    <w:rsid w:val="00C063D4"/>
    <w:rsid w:val="00C066F4"/>
    <w:rsid w:val="00C07377"/>
    <w:rsid w:val="00C0761A"/>
    <w:rsid w:val="00C10478"/>
    <w:rsid w:val="00C12107"/>
    <w:rsid w:val="00C14D4B"/>
    <w:rsid w:val="00C154BB"/>
    <w:rsid w:val="00C154DB"/>
    <w:rsid w:val="00C2329B"/>
    <w:rsid w:val="00C2638D"/>
    <w:rsid w:val="00C279B5"/>
    <w:rsid w:val="00C27C45"/>
    <w:rsid w:val="00C3719D"/>
    <w:rsid w:val="00C54995"/>
    <w:rsid w:val="00C54D41"/>
    <w:rsid w:val="00C60783"/>
    <w:rsid w:val="00C62611"/>
    <w:rsid w:val="00C64672"/>
    <w:rsid w:val="00C64690"/>
    <w:rsid w:val="00C70697"/>
    <w:rsid w:val="00C72EF4"/>
    <w:rsid w:val="00C75D2F"/>
    <w:rsid w:val="00C767BE"/>
    <w:rsid w:val="00C76E3C"/>
    <w:rsid w:val="00C81568"/>
    <w:rsid w:val="00C9027A"/>
    <w:rsid w:val="00C9068E"/>
    <w:rsid w:val="00C93C4B"/>
    <w:rsid w:val="00C94015"/>
    <w:rsid w:val="00C944AB"/>
    <w:rsid w:val="00C95B40"/>
    <w:rsid w:val="00CA1068"/>
    <w:rsid w:val="00CA1ED8"/>
    <w:rsid w:val="00CA2417"/>
    <w:rsid w:val="00CB1F63"/>
    <w:rsid w:val="00CB2A2F"/>
    <w:rsid w:val="00CB65C0"/>
    <w:rsid w:val="00CB7170"/>
    <w:rsid w:val="00CC040E"/>
    <w:rsid w:val="00CC0B3E"/>
    <w:rsid w:val="00CC111F"/>
    <w:rsid w:val="00CC2011"/>
    <w:rsid w:val="00CC3EA0"/>
    <w:rsid w:val="00CC7B45"/>
    <w:rsid w:val="00CD1188"/>
    <w:rsid w:val="00CD2ED1"/>
    <w:rsid w:val="00CD337B"/>
    <w:rsid w:val="00CD70E1"/>
    <w:rsid w:val="00CE0424"/>
    <w:rsid w:val="00CE7561"/>
    <w:rsid w:val="00CF0481"/>
    <w:rsid w:val="00CF1354"/>
    <w:rsid w:val="00CF32DA"/>
    <w:rsid w:val="00CF3B1F"/>
    <w:rsid w:val="00CF3BF6"/>
    <w:rsid w:val="00CF625B"/>
    <w:rsid w:val="00CF687E"/>
    <w:rsid w:val="00D0349B"/>
    <w:rsid w:val="00D07A1F"/>
    <w:rsid w:val="00D10249"/>
    <w:rsid w:val="00D115C3"/>
    <w:rsid w:val="00D11897"/>
    <w:rsid w:val="00D13135"/>
    <w:rsid w:val="00D13E4E"/>
    <w:rsid w:val="00D13EB3"/>
    <w:rsid w:val="00D15DE6"/>
    <w:rsid w:val="00D239A7"/>
    <w:rsid w:val="00D23F47"/>
    <w:rsid w:val="00D24223"/>
    <w:rsid w:val="00D262C4"/>
    <w:rsid w:val="00D27E43"/>
    <w:rsid w:val="00D33EF3"/>
    <w:rsid w:val="00D36E71"/>
    <w:rsid w:val="00D37D87"/>
    <w:rsid w:val="00D40B33"/>
    <w:rsid w:val="00D4318F"/>
    <w:rsid w:val="00D438BF"/>
    <w:rsid w:val="00D440F8"/>
    <w:rsid w:val="00D47CC9"/>
    <w:rsid w:val="00D5337E"/>
    <w:rsid w:val="00D546FF"/>
    <w:rsid w:val="00D55AD5"/>
    <w:rsid w:val="00D576CA"/>
    <w:rsid w:val="00D61AF5"/>
    <w:rsid w:val="00D63910"/>
    <w:rsid w:val="00D652B5"/>
    <w:rsid w:val="00D66155"/>
    <w:rsid w:val="00D66C2E"/>
    <w:rsid w:val="00D708B0"/>
    <w:rsid w:val="00D70920"/>
    <w:rsid w:val="00D74FD3"/>
    <w:rsid w:val="00D77B1D"/>
    <w:rsid w:val="00D8021F"/>
    <w:rsid w:val="00D80383"/>
    <w:rsid w:val="00D823C6"/>
    <w:rsid w:val="00D833B2"/>
    <w:rsid w:val="00D84A75"/>
    <w:rsid w:val="00D86CA3"/>
    <w:rsid w:val="00D871CE"/>
    <w:rsid w:val="00D9196D"/>
    <w:rsid w:val="00D92982"/>
    <w:rsid w:val="00D968A7"/>
    <w:rsid w:val="00D97F18"/>
    <w:rsid w:val="00DA305E"/>
    <w:rsid w:val="00DA5417"/>
    <w:rsid w:val="00DA56E8"/>
    <w:rsid w:val="00DB0A9F"/>
    <w:rsid w:val="00DB377D"/>
    <w:rsid w:val="00DC2D36"/>
    <w:rsid w:val="00DC53EF"/>
    <w:rsid w:val="00DD131E"/>
    <w:rsid w:val="00DE1F8C"/>
    <w:rsid w:val="00DE5608"/>
    <w:rsid w:val="00DE58D0"/>
    <w:rsid w:val="00DE654F"/>
    <w:rsid w:val="00DF0B6E"/>
    <w:rsid w:val="00DF15E0"/>
    <w:rsid w:val="00DF37A0"/>
    <w:rsid w:val="00E079E3"/>
    <w:rsid w:val="00E110E7"/>
    <w:rsid w:val="00E11B20"/>
    <w:rsid w:val="00E11B46"/>
    <w:rsid w:val="00E12A3D"/>
    <w:rsid w:val="00E17FA2"/>
    <w:rsid w:val="00E2188B"/>
    <w:rsid w:val="00E22330"/>
    <w:rsid w:val="00E30B5A"/>
    <w:rsid w:val="00E3123D"/>
    <w:rsid w:val="00E31461"/>
    <w:rsid w:val="00E31D43"/>
    <w:rsid w:val="00E32608"/>
    <w:rsid w:val="00E34188"/>
    <w:rsid w:val="00E34B6E"/>
    <w:rsid w:val="00E35559"/>
    <w:rsid w:val="00E3707D"/>
    <w:rsid w:val="00E3723A"/>
    <w:rsid w:val="00E37860"/>
    <w:rsid w:val="00E41B1C"/>
    <w:rsid w:val="00E427CE"/>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91C"/>
    <w:rsid w:val="00E93FFE"/>
    <w:rsid w:val="00E94F8A"/>
    <w:rsid w:val="00E965D1"/>
    <w:rsid w:val="00EA24E2"/>
    <w:rsid w:val="00EA3EB3"/>
    <w:rsid w:val="00EA4B16"/>
    <w:rsid w:val="00EA70CD"/>
    <w:rsid w:val="00EA7A41"/>
    <w:rsid w:val="00EB077B"/>
    <w:rsid w:val="00EB4EA2"/>
    <w:rsid w:val="00EC27C6"/>
    <w:rsid w:val="00EC41A0"/>
    <w:rsid w:val="00EC4207"/>
    <w:rsid w:val="00EC5653"/>
    <w:rsid w:val="00EC71CE"/>
    <w:rsid w:val="00EC77A7"/>
    <w:rsid w:val="00ED1006"/>
    <w:rsid w:val="00EE3EFE"/>
    <w:rsid w:val="00EE59C8"/>
    <w:rsid w:val="00EF18FE"/>
    <w:rsid w:val="00EF5787"/>
    <w:rsid w:val="00EF60D0"/>
    <w:rsid w:val="00F0528D"/>
    <w:rsid w:val="00F05DDE"/>
    <w:rsid w:val="00F06C67"/>
    <w:rsid w:val="00F06DFD"/>
    <w:rsid w:val="00F071D1"/>
    <w:rsid w:val="00F07533"/>
    <w:rsid w:val="00F10629"/>
    <w:rsid w:val="00F13ECC"/>
    <w:rsid w:val="00F15FA5"/>
    <w:rsid w:val="00F17328"/>
    <w:rsid w:val="00F209B7"/>
    <w:rsid w:val="00F2376F"/>
    <w:rsid w:val="00F243D8"/>
    <w:rsid w:val="00F301BB"/>
    <w:rsid w:val="00F30828"/>
    <w:rsid w:val="00F313D6"/>
    <w:rsid w:val="00F40F0C"/>
    <w:rsid w:val="00F4766C"/>
    <w:rsid w:val="00F5060E"/>
    <w:rsid w:val="00F507D1"/>
    <w:rsid w:val="00F5124F"/>
    <w:rsid w:val="00F519CE"/>
    <w:rsid w:val="00F51ADA"/>
    <w:rsid w:val="00F6020D"/>
    <w:rsid w:val="00F606D8"/>
    <w:rsid w:val="00F607C5"/>
    <w:rsid w:val="00F60DEA"/>
    <w:rsid w:val="00F6302A"/>
    <w:rsid w:val="00F64C2B"/>
    <w:rsid w:val="00F651BE"/>
    <w:rsid w:val="00F67F53"/>
    <w:rsid w:val="00F703BE"/>
    <w:rsid w:val="00F71F69"/>
    <w:rsid w:val="00F724ED"/>
    <w:rsid w:val="00F72B72"/>
    <w:rsid w:val="00F74BB9"/>
    <w:rsid w:val="00F74F85"/>
    <w:rsid w:val="00F75582"/>
    <w:rsid w:val="00F76EFA"/>
    <w:rsid w:val="00F804BE"/>
    <w:rsid w:val="00F817CE"/>
    <w:rsid w:val="00F8456C"/>
    <w:rsid w:val="00F859D8"/>
    <w:rsid w:val="00F868F5"/>
    <w:rsid w:val="00F9056A"/>
    <w:rsid w:val="00F90F8D"/>
    <w:rsid w:val="00F92463"/>
    <w:rsid w:val="00F92782"/>
    <w:rsid w:val="00F93AA9"/>
    <w:rsid w:val="00F93E1B"/>
    <w:rsid w:val="00F96985"/>
    <w:rsid w:val="00F97838"/>
    <w:rsid w:val="00FA20A1"/>
    <w:rsid w:val="00FA2BB3"/>
    <w:rsid w:val="00FB4C80"/>
    <w:rsid w:val="00FB6A6A"/>
    <w:rsid w:val="00FC7429"/>
    <w:rsid w:val="00FD07F6"/>
    <w:rsid w:val="00FD12C9"/>
    <w:rsid w:val="00FD1EC8"/>
    <w:rsid w:val="00FD47ED"/>
    <w:rsid w:val="00FD74DB"/>
    <w:rsid w:val="00FD7660"/>
    <w:rsid w:val="00FE0655"/>
    <w:rsid w:val="00FE2365"/>
    <w:rsid w:val="00FE37D7"/>
    <w:rsid w:val="00FE4C7B"/>
    <w:rsid w:val="00FE715F"/>
    <w:rsid w:val="00FE7336"/>
    <w:rsid w:val="00FE787C"/>
    <w:rsid w:val="00FF077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8F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left" w:pos="1701"/>
      </w:tabs>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13"/>
      </w:numPr>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styleId="Revision">
    <w:name w:val="Revision"/>
    <w:hidden/>
    <w:uiPriority w:val="99"/>
    <w:semiHidden/>
    <w:rsid w:val="003029E7"/>
    <w:rPr>
      <w:rFonts w:ascii="Times New Roman" w:hAnsi="Times New Roman"/>
      <w:lang w:val="en-GB" w:eastAsia="zh-CN"/>
    </w:rPr>
  </w:style>
  <w:style w:type="paragraph" w:customStyle="1" w:styleId="references">
    <w:name w:val="references"/>
    <w:rsid w:val="008E1545"/>
    <w:pPr>
      <w:numPr>
        <w:numId w:val="43"/>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CF638-90C9-4F86-8850-562E20D6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1821</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2017-08-12T03:18:00Z</dcterms:created>
  <dcterms:modified xsi:type="dcterms:W3CDTF">2017-08-12T03:18:00Z</dcterms:modified>
</cp:coreProperties>
</file>